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85EDC" w14:textId="77777777" w:rsidR="00547497" w:rsidRPr="002F4A38" w:rsidRDefault="003C1D0C">
      <w:pPr>
        <w:widowControl w:val="0"/>
        <w:ind w:firstLine="0"/>
        <w:jc w:val="right"/>
      </w:pPr>
      <w:r>
        <w:tab/>
      </w:r>
      <w:r>
        <w:tab/>
      </w:r>
      <w:r w:rsidRPr="002F4A38">
        <w:t>Проект</w:t>
      </w:r>
    </w:p>
    <w:p w14:paraId="220BF909" w14:textId="77777777" w:rsidR="00547497" w:rsidRPr="002F4A38" w:rsidRDefault="003C1D0C">
      <w:pPr>
        <w:widowControl w:val="0"/>
        <w:ind w:firstLine="0"/>
        <w:jc w:val="center"/>
        <w:outlineLvl w:val="0"/>
        <w:rPr>
          <w:b/>
        </w:rPr>
      </w:pPr>
      <w:r w:rsidRPr="002F4A38">
        <w:rPr>
          <w:b/>
        </w:rPr>
        <w:t>ПРАВИТЕЛЬСТВО РОССИЙСКОЙ ФЕДЕРАЦИИ</w:t>
      </w:r>
    </w:p>
    <w:p w14:paraId="405DA350" w14:textId="77777777" w:rsidR="00547497" w:rsidRPr="002F4A38" w:rsidRDefault="00547497">
      <w:pPr>
        <w:widowControl w:val="0"/>
        <w:ind w:firstLine="0"/>
        <w:jc w:val="center"/>
      </w:pPr>
    </w:p>
    <w:p w14:paraId="634F141E" w14:textId="77777777" w:rsidR="00547497" w:rsidRPr="002F4A38" w:rsidRDefault="003C1D0C">
      <w:pPr>
        <w:widowControl w:val="0"/>
        <w:ind w:firstLine="0"/>
        <w:jc w:val="center"/>
      </w:pPr>
      <w:r w:rsidRPr="002F4A38">
        <w:t>ПОСТАНОВЛЕНИЕ</w:t>
      </w:r>
    </w:p>
    <w:p w14:paraId="6BC3BDDA" w14:textId="77777777" w:rsidR="00547497" w:rsidRPr="002F4A38" w:rsidRDefault="00547497">
      <w:pPr>
        <w:widowControl w:val="0"/>
        <w:spacing w:line="480" w:lineRule="exact"/>
        <w:ind w:firstLine="0"/>
        <w:jc w:val="center"/>
      </w:pPr>
    </w:p>
    <w:p w14:paraId="4F57572B" w14:textId="77777777" w:rsidR="00547497" w:rsidRPr="002F4A38" w:rsidRDefault="003C1D0C">
      <w:pPr>
        <w:widowControl w:val="0"/>
        <w:ind w:firstLine="0"/>
        <w:jc w:val="center"/>
      </w:pPr>
      <w:r w:rsidRPr="002F4A38">
        <w:t>от «__» ________________________ г. №___</w:t>
      </w:r>
    </w:p>
    <w:p w14:paraId="64B7F9F1" w14:textId="77777777" w:rsidR="00547497" w:rsidRPr="002F4A38" w:rsidRDefault="00547497">
      <w:pPr>
        <w:widowControl w:val="0"/>
        <w:spacing w:line="480" w:lineRule="exact"/>
        <w:ind w:firstLine="0"/>
        <w:jc w:val="center"/>
      </w:pPr>
    </w:p>
    <w:p w14:paraId="00FC6CEB" w14:textId="77777777" w:rsidR="00547497" w:rsidRPr="002F4A38" w:rsidRDefault="003C1D0C">
      <w:pPr>
        <w:widowControl w:val="0"/>
        <w:ind w:firstLine="0"/>
        <w:jc w:val="center"/>
      </w:pPr>
      <w:r w:rsidRPr="002F4A38">
        <w:t>МОСКВА</w:t>
      </w:r>
    </w:p>
    <w:p w14:paraId="6EEB2918" w14:textId="77777777" w:rsidR="00310EA5" w:rsidRPr="002F4A38" w:rsidRDefault="00310EA5">
      <w:pPr>
        <w:widowControl w:val="0"/>
        <w:ind w:firstLine="0"/>
        <w:jc w:val="center"/>
      </w:pPr>
    </w:p>
    <w:p w14:paraId="4E9460A0" w14:textId="77777777" w:rsidR="0074203B" w:rsidRPr="002F4A38" w:rsidRDefault="004D68A6" w:rsidP="00310EA5">
      <w:pPr>
        <w:widowControl w:val="0"/>
        <w:ind w:firstLine="0"/>
        <w:jc w:val="center"/>
        <w:rPr>
          <w:b/>
          <w:szCs w:val="36"/>
        </w:rPr>
      </w:pPr>
      <w:r w:rsidRPr="002F4A38">
        <w:rPr>
          <w:b/>
          <w:szCs w:val="36"/>
        </w:rPr>
        <w:t>О</w:t>
      </w:r>
      <w:r w:rsidR="00310EA5" w:rsidRPr="002F4A38">
        <w:rPr>
          <w:b/>
          <w:szCs w:val="36"/>
        </w:rPr>
        <w:t>б утверждении методики расчета</w:t>
      </w:r>
      <w:r w:rsidRPr="002F4A38">
        <w:rPr>
          <w:b/>
          <w:szCs w:val="36"/>
        </w:rPr>
        <w:t xml:space="preserve"> </w:t>
      </w:r>
      <w:r w:rsidR="00310EA5" w:rsidRPr="002F4A38">
        <w:rPr>
          <w:b/>
          <w:szCs w:val="36"/>
        </w:rPr>
        <w:t>базовой ставки экологического сбора и применения экологического коэффициента</w:t>
      </w:r>
    </w:p>
    <w:p w14:paraId="2D4BB683" w14:textId="77777777" w:rsidR="004D68A6" w:rsidRPr="002F4A38" w:rsidRDefault="004D68A6">
      <w:pPr>
        <w:widowControl w:val="0"/>
        <w:spacing w:line="480" w:lineRule="exact"/>
        <w:ind w:firstLine="0"/>
        <w:jc w:val="center"/>
        <w:rPr>
          <w:b/>
          <w:szCs w:val="36"/>
        </w:rPr>
      </w:pPr>
    </w:p>
    <w:p w14:paraId="4CA59801" w14:textId="77777777" w:rsidR="00547497" w:rsidRPr="002F4A38" w:rsidRDefault="004D68A6" w:rsidP="004D68A6">
      <w:pPr>
        <w:widowControl w:val="0"/>
        <w:spacing w:after="240"/>
        <w:rPr>
          <w:b/>
        </w:rPr>
      </w:pPr>
      <w:r w:rsidRPr="002F4A38">
        <w:rPr>
          <w:szCs w:val="28"/>
        </w:rPr>
        <w:t xml:space="preserve">В соответствии пунктом 9 статьи 24.5 Федерального закона «Об отходах производства и потребления» (Собрание законодательства </w:t>
      </w:r>
      <w:r w:rsidRPr="002F4A38">
        <w:rPr>
          <w:color w:val="auto"/>
          <w:szCs w:val="28"/>
        </w:rPr>
        <w:t xml:space="preserve">Российской Федерации, 1998, № 26, ст. 3009; 2015, № 1, ст. 11; 2018, № 1, ст.  87) </w:t>
      </w:r>
      <w:r w:rsidRPr="002F4A38">
        <w:rPr>
          <w:szCs w:val="28"/>
        </w:rPr>
        <w:t xml:space="preserve">Правительство Российской Федерации </w:t>
      </w:r>
      <w:r w:rsidRPr="002F4A38">
        <w:rPr>
          <w:b/>
          <w:szCs w:val="28"/>
        </w:rPr>
        <w:t>п о с т а н о в л я е т:</w:t>
      </w:r>
    </w:p>
    <w:p w14:paraId="07C54518" w14:textId="77777777" w:rsidR="00547497" w:rsidRPr="002F4A38" w:rsidRDefault="003C1D0C">
      <w:pPr>
        <w:pStyle w:val="afb"/>
        <w:numPr>
          <w:ilvl w:val="0"/>
          <w:numId w:val="1"/>
        </w:numPr>
        <w:ind w:left="0" w:firstLine="709"/>
      </w:pPr>
      <w:r w:rsidRPr="002F4A38">
        <w:t>Утвердить прилагаемую методику расчета базов</w:t>
      </w:r>
      <w:r w:rsidR="0047267C" w:rsidRPr="002F4A38">
        <w:t xml:space="preserve">ой </w:t>
      </w:r>
      <w:r w:rsidRPr="002F4A38">
        <w:t>ставк</w:t>
      </w:r>
      <w:r w:rsidR="0047267C" w:rsidRPr="002F4A38">
        <w:t>и</w:t>
      </w:r>
      <w:r w:rsidR="00E8648C" w:rsidRPr="002F4A38">
        <w:t xml:space="preserve"> экологического</w:t>
      </w:r>
      <w:r w:rsidRPr="002F4A38">
        <w:t xml:space="preserve"> сбора, уплачиваемого производителями товаров, импортерами товаров, которые не обеспечивают самостоятельную утилизацию отходов от использования товаров, и применения коэффициента, учитывающего сложность извлечения отходов от использования товаров для дальнейшей утилизации, наличие технологической возможности их утилизации с учетом изменения физических, химических и механических свойств материалов при многократном использовании (с учетом возможных циклов переработки отхода от использования товара), востребованность вторичного сырья для использования при производстве товаров (продукции).</w:t>
      </w:r>
    </w:p>
    <w:p w14:paraId="35F85E52" w14:textId="77777777" w:rsidR="00547497" w:rsidRPr="002F4A38" w:rsidRDefault="003C1D0C">
      <w:pPr>
        <w:pStyle w:val="afb"/>
        <w:numPr>
          <w:ilvl w:val="0"/>
          <w:numId w:val="1"/>
        </w:numPr>
        <w:ind w:hanging="644"/>
      </w:pPr>
      <w:r w:rsidRPr="002F4A38">
        <w:t xml:space="preserve">Настоящее </w:t>
      </w:r>
      <w:r w:rsidR="00E8648C" w:rsidRPr="002F4A38">
        <w:t xml:space="preserve">постановление </w:t>
      </w:r>
      <w:r w:rsidRPr="002F4A38">
        <w:t xml:space="preserve">вступает в силу с </w:t>
      </w:r>
      <w:r w:rsidR="00F03FCF" w:rsidRPr="002F4A38">
        <w:t xml:space="preserve">1 января </w:t>
      </w:r>
      <w:r w:rsidRPr="002F4A38">
        <w:t>202</w:t>
      </w:r>
      <w:r w:rsidR="00F03FCF" w:rsidRPr="002F4A38">
        <w:t>4</w:t>
      </w:r>
      <w:r w:rsidRPr="002F4A38">
        <w:t xml:space="preserve"> г.</w:t>
      </w:r>
    </w:p>
    <w:p w14:paraId="144736E6" w14:textId="77777777" w:rsidR="00547497" w:rsidRPr="002F4A38" w:rsidRDefault="00547497"/>
    <w:p w14:paraId="0B11D77F" w14:textId="77777777" w:rsidR="00547497" w:rsidRPr="002F4A38" w:rsidRDefault="005474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547497" w:rsidRPr="002F4A38" w14:paraId="6D004239" w14:textId="77777777">
        <w:tc>
          <w:tcPr>
            <w:tcW w:w="39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84D09E" w14:textId="77777777" w:rsidR="00547497" w:rsidRPr="002F4A38" w:rsidRDefault="003C1D0C">
            <w:pPr>
              <w:widowControl w:val="0"/>
              <w:ind w:firstLine="0"/>
              <w:jc w:val="center"/>
            </w:pPr>
            <w:r w:rsidRPr="002F4A38">
              <w:t>Председатель Правительства</w:t>
            </w:r>
          </w:p>
          <w:p w14:paraId="7044210D" w14:textId="77777777" w:rsidR="00547497" w:rsidRPr="002F4A38" w:rsidRDefault="003C1D0C">
            <w:pPr>
              <w:widowControl w:val="0"/>
              <w:ind w:firstLine="0"/>
              <w:jc w:val="center"/>
            </w:pPr>
            <w:r w:rsidRPr="002F4A38">
              <w:t>Российской Федерации</w:t>
            </w:r>
          </w:p>
        </w:tc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B4DFE5" w14:textId="77777777" w:rsidR="00547497" w:rsidRPr="002F4A38" w:rsidRDefault="00547497">
            <w:pPr>
              <w:widowControl w:val="0"/>
              <w:ind w:firstLine="0"/>
              <w:jc w:val="right"/>
            </w:pPr>
          </w:p>
          <w:p w14:paraId="35FE0485" w14:textId="77777777" w:rsidR="00547497" w:rsidRPr="002F4A38" w:rsidRDefault="003C1D0C">
            <w:pPr>
              <w:widowControl w:val="0"/>
              <w:ind w:firstLine="0"/>
              <w:jc w:val="right"/>
            </w:pPr>
            <w:r w:rsidRPr="002F4A38">
              <w:t xml:space="preserve"> </w:t>
            </w:r>
            <w:proofErr w:type="spellStart"/>
            <w:r w:rsidRPr="002F4A38">
              <w:t>М.Мишустин</w:t>
            </w:r>
            <w:proofErr w:type="spellEnd"/>
          </w:p>
        </w:tc>
      </w:tr>
    </w:tbl>
    <w:p w14:paraId="3DF97D31" w14:textId="77777777" w:rsidR="00547497" w:rsidRPr="002F4A38" w:rsidRDefault="00547497">
      <w:pPr>
        <w:ind w:firstLine="0"/>
        <w:jc w:val="center"/>
      </w:pPr>
    </w:p>
    <w:p w14:paraId="27449DA4" w14:textId="77777777" w:rsidR="00547497" w:rsidRPr="002F4A38" w:rsidRDefault="00547497">
      <w:pPr>
        <w:sectPr w:rsidR="00547497" w:rsidRPr="002F4A38">
          <w:headerReference w:type="default" r:id="rId9"/>
          <w:headerReference w:type="first" r:id="rId10"/>
          <w:pgSz w:w="11906" w:h="16838"/>
          <w:pgMar w:top="1134" w:right="1276" w:bottom="1134" w:left="1559" w:header="709" w:footer="709" w:gutter="0"/>
          <w:cols w:space="720"/>
          <w:titlePg/>
          <w:docGrid w:linePitch="360"/>
        </w:sectPr>
      </w:pPr>
    </w:p>
    <w:tbl>
      <w:tblPr>
        <w:tblStyle w:val="aff"/>
        <w:tblW w:w="4394" w:type="dxa"/>
        <w:tblInd w:w="467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394"/>
      </w:tblGrid>
      <w:tr w:rsidR="00547497" w:rsidRPr="002F4A38" w14:paraId="28E20318" w14:textId="77777777">
        <w:tc>
          <w:tcPr>
            <w:tcW w:w="4394" w:type="dxa"/>
          </w:tcPr>
          <w:p w14:paraId="0E605215" w14:textId="77777777" w:rsidR="00547497" w:rsidRPr="002F4A38" w:rsidRDefault="003C1D0C">
            <w:pPr>
              <w:ind w:right="-1" w:firstLine="0"/>
              <w:jc w:val="center"/>
            </w:pPr>
            <w:bookmarkStart w:id="0" w:name="_Hlk41985361"/>
            <w:bookmarkEnd w:id="0"/>
            <w:r w:rsidRPr="002F4A38">
              <w:lastRenderedPageBreak/>
              <w:t>Утверждена</w:t>
            </w:r>
          </w:p>
          <w:p w14:paraId="20399745" w14:textId="77777777" w:rsidR="00547497" w:rsidRPr="002F4A38" w:rsidRDefault="003C1D0C">
            <w:pPr>
              <w:ind w:right="-1" w:firstLine="0"/>
              <w:jc w:val="center"/>
            </w:pPr>
            <w:r w:rsidRPr="002F4A38">
              <w:t>постановлением Правительства</w:t>
            </w:r>
          </w:p>
          <w:p w14:paraId="5C6CE8EA" w14:textId="77777777" w:rsidR="00547497" w:rsidRPr="002F4A38" w:rsidRDefault="003C1D0C">
            <w:pPr>
              <w:ind w:right="-1" w:firstLine="0"/>
              <w:jc w:val="center"/>
            </w:pPr>
            <w:r w:rsidRPr="002F4A38">
              <w:t>Российской Федерации</w:t>
            </w:r>
          </w:p>
          <w:p w14:paraId="59303159" w14:textId="77777777" w:rsidR="00547497" w:rsidRPr="002F4A38" w:rsidRDefault="003C1D0C">
            <w:pPr>
              <w:ind w:right="-1" w:firstLine="0"/>
              <w:jc w:val="center"/>
            </w:pPr>
            <w:r w:rsidRPr="002F4A38">
              <w:t>от                        2023 г. №</w:t>
            </w:r>
            <w:r w:rsidRPr="002F4A38">
              <w:tab/>
            </w:r>
          </w:p>
        </w:tc>
      </w:tr>
    </w:tbl>
    <w:p w14:paraId="019D6872" w14:textId="77777777" w:rsidR="00547497" w:rsidRPr="002F4A38" w:rsidRDefault="00547497">
      <w:pPr>
        <w:ind w:firstLine="0"/>
      </w:pPr>
    </w:p>
    <w:p w14:paraId="0EBC7DC9" w14:textId="77777777" w:rsidR="00547497" w:rsidRPr="002F4A38" w:rsidRDefault="00547497">
      <w:pPr>
        <w:ind w:firstLine="0"/>
        <w:jc w:val="center"/>
        <w:rPr>
          <w:b/>
        </w:rPr>
      </w:pPr>
    </w:p>
    <w:p w14:paraId="70324D7A" w14:textId="77777777" w:rsidR="00547497" w:rsidRPr="002F4A38" w:rsidRDefault="003C1D0C">
      <w:pPr>
        <w:ind w:firstLine="0"/>
        <w:jc w:val="center"/>
        <w:rPr>
          <w:b/>
        </w:rPr>
      </w:pPr>
      <w:r w:rsidRPr="002F4A38">
        <w:rPr>
          <w:b/>
        </w:rPr>
        <w:t>М Е Т О Д И К А</w:t>
      </w:r>
    </w:p>
    <w:p w14:paraId="54D33545" w14:textId="77777777" w:rsidR="00547497" w:rsidRPr="002F4A38" w:rsidRDefault="003C1D0C">
      <w:pPr>
        <w:ind w:firstLine="0"/>
        <w:jc w:val="center"/>
        <w:rPr>
          <w:b/>
        </w:rPr>
      </w:pPr>
      <w:r w:rsidRPr="002F4A38">
        <w:rPr>
          <w:b/>
        </w:rPr>
        <w:t xml:space="preserve">расчета базовой ставки </w:t>
      </w:r>
      <w:r w:rsidR="00105249" w:rsidRPr="002F4A38">
        <w:rPr>
          <w:b/>
        </w:rPr>
        <w:t xml:space="preserve">экологического </w:t>
      </w:r>
      <w:r w:rsidRPr="002F4A38">
        <w:rPr>
          <w:b/>
        </w:rPr>
        <w:t>сбора</w:t>
      </w:r>
      <w:r w:rsidR="004D68A6" w:rsidRPr="002F4A38">
        <w:rPr>
          <w:b/>
        </w:rPr>
        <w:t xml:space="preserve"> </w:t>
      </w:r>
      <w:r w:rsidRPr="002F4A38">
        <w:rPr>
          <w:b/>
        </w:rPr>
        <w:t>и</w:t>
      </w:r>
      <w:r w:rsidR="004D68A6" w:rsidRPr="002F4A38">
        <w:rPr>
          <w:b/>
        </w:rPr>
        <w:t xml:space="preserve"> </w:t>
      </w:r>
      <w:r w:rsidRPr="002F4A38">
        <w:rPr>
          <w:b/>
        </w:rPr>
        <w:t>применения коэффициента, учитывающего сложность извлечения отходов от использования товаров для дальнейшей утилизации, наличие технологической возможности их утилизации с учетом изменения физических, химических и механических свойств материалов при многократном использовании (с учетом возможных циклов переработки отхода от использования товара), востребованность вторичного сырья для использования при производстве товаров (продукции)</w:t>
      </w:r>
    </w:p>
    <w:p w14:paraId="45AF8889" w14:textId="77777777" w:rsidR="00547497" w:rsidRPr="002F4A38" w:rsidRDefault="00547497">
      <w:pPr>
        <w:ind w:firstLine="0"/>
        <w:jc w:val="center"/>
        <w:rPr>
          <w:b/>
        </w:rPr>
      </w:pPr>
    </w:p>
    <w:p w14:paraId="7A15BBE5" w14:textId="1BFD842B" w:rsidR="00547497" w:rsidRPr="002F4A38" w:rsidRDefault="003C1D0C">
      <w:pPr>
        <w:pStyle w:val="afb"/>
        <w:numPr>
          <w:ilvl w:val="0"/>
          <w:numId w:val="2"/>
        </w:numPr>
        <w:ind w:left="0"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gram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Настоящая методика устанавливает</w:t>
      </w:r>
      <w:r w:rsidR="00310EA5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формулы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расчета базовой ставки </w:t>
      </w:r>
      <w:r w:rsidR="00105249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экологического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сбора для товаров, </w:t>
      </w:r>
      <w:r w:rsidR="009C6E74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в том числе товаров, являющихся упаковкой,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упаковки товаров, уплачиваемого производителями товаров, импортерами товаров, которые не обеспечивают самостоятельную утилизацию отходов от</w:t>
      </w:r>
      <w:r w:rsidR="009C6E74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использования товаров, и применения коэффициента, учитывающего сложность извлечения отходов от использования товаров для дальнейшей утилизации, наличие технологической возможности их утилизации с учетом изменения физических, химических и механических свойств материалов</w:t>
      </w:r>
      <w:proofErr w:type="gramEnd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при многократном использовании (с учетом возможных циклов переработки отхода от использования товара), востребованность вторичного сырья для использования при производстве товаров (продукции) (далее – ОИТ, методика, ставки экологического сбора, коэффициент</w:t>
      </w:r>
      <w:r w:rsidR="009C6E74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, соответственно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).</w:t>
      </w:r>
    </w:p>
    <w:p w14:paraId="2ED62F03" w14:textId="77777777" w:rsidR="00547497" w:rsidRPr="002F4A38" w:rsidRDefault="003C1D0C">
      <w:pPr>
        <w:pStyle w:val="afb"/>
        <w:numPr>
          <w:ilvl w:val="0"/>
          <w:numId w:val="2"/>
        </w:numPr>
        <w:ind w:left="0"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Для целей настоящей методики</w:t>
      </w:r>
      <w:r w:rsidR="009C6E74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:</w:t>
      </w:r>
    </w:p>
    <w:p w14:paraId="69D65271" w14:textId="77777777" w:rsidR="00547497" w:rsidRPr="002F4A38" w:rsidRDefault="009C6E74">
      <w:pPr>
        <w:pStyle w:val="afb"/>
        <w:ind w:left="0" w:firstLine="720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под </w:t>
      </w:r>
      <w:r w:rsidR="003C1D0C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обращение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м</w:t>
      </w:r>
      <w:r w:rsidR="003C1D0C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с ОИТ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понимается</w:t>
      </w:r>
      <w:r w:rsidR="003C1D0C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деятельность по сбору и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 w:rsidR="003C1D0C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накоплению, транспортированию, обработке, утилизации ОИТ;</w:t>
      </w:r>
    </w:p>
    <w:p w14:paraId="6308206B" w14:textId="7137A270" w:rsidR="00547497" w:rsidRPr="002F4A38" w:rsidRDefault="003C1D0C">
      <w:pPr>
        <w:pStyle w:val="afb"/>
        <w:ind w:left="0" w:firstLine="720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обеспечение потребности во вторичном сырье </w:t>
      </w:r>
      <w:r w:rsidR="007815BF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-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фактическая реализация юридическими лицами и индивидуальными предпринимателями, осуществляющими утилизацию ОИТ, вторичного сырья, получаемого в результате утилизации ОИТ.</w:t>
      </w:r>
    </w:p>
    <w:p w14:paraId="49D0A6C0" w14:textId="77777777" w:rsidR="00547497" w:rsidRPr="002F4A38" w:rsidRDefault="003C1D0C">
      <w:pPr>
        <w:pStyle w:val="afb"/>
        <w:numPr>
          <w:ilvl w:val="0"/>
          <w:numId w:val="2"/>
        </w:numPr>
        <w:ind w:left="0"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Ставка экологического сбора определяется путем умножения базовой ставки экологического сбора на коэффициент.</w:t>
      </w:r>
    </w:p>
    <w:p w14:paraId="6499F395" w14:textId="77777777" w:rsidR="00547497" w:rsidRPr="002F4A38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Расчет ставки экологического сбора (СЭС) по группе товаров, упаковки товаров на 1 тонну выпущенного товара, упаковки товара осуществляется по формуле:</w:t>
      </w:r>
    </w:p>
    <w:p w14:paraId="0122812F" w14:textId="7E5F86B7" w:rsidR="00547497" w:rsidRPr="002F4A38" w:rsidRDefault="003C1D0C">
      <w:pPr>
        <w:pStyle w:val="afb"/>
        <w:ind w:left="708"/>
        <w:jc w:val="center"/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</w:pPr>
      <w:r w:rsidRPr="002F4A38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СЭС = БСЭС × КЭ</w:t>
      </w:r>
    </w:p>
    <w:p w14:paraId="23C2AAB0" w14:textId="77777777" w:rsidR="00547497" w:rsidRPr="002F4A38" w:rsidRDefault="003C1D0C">
      <w:pPr>
        <w:pStyle w:val="afb"/>
        <w:ind w:left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где:</w:t>
      </w:r>
    </w:p>
    <w:p w14:paraId="7E1AE7C5" w14:textId="77777777" w:rsidR="00547497" w:rsidRPr="002F4A38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lastRenderedPageBreak/>
        <w:t>БСЭС</w:t>
      </w:r>
      <w:bookmarkStart w:id="1" w:name="_Hlk85184905"/>
      <w:r w:rsidR="009C6E74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базовая ставка экологического сбора, рассчитываемая </w:t>
      </w:r>
      <w:bookmarkEnd w:id="1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на</w:t>
      </w:r>
      <w:r w:rsidR="00EB6678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основе средних сумм затрат на сбор и накопление, транспортирование, обработку и утилизацию единицы массы изделия, утратившего свои потребительские свойства, а также удельных величин затрат на создание инфраструктуры, предназначенной для этих целей, руб./т.</w:t>
      </w:r>
    </w:p>
    <w:p w14:paraId="693A60FE" w14:textId="77777777" w:rsidR="00547497" w:rsidRPr="002F4A38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КЭ – коэффициент.</w:t>
      </w:r>
    </w:p>
    <w:p w14:paraId="7FA7F292" w14:textId="3581EE15" w:rsidR="00547497" w:rsidRPr="002F4A38" w:rsidRDefault="003C1D0C">
      <w:pPr>
        <w:pStyle w:val="afb"/>
        <w:numPr>
          <w:ilvl w:val="0"/>
          <w:numId w:val="2"/>
        </w:numPr>
        <w:ind w:left="0"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Базовые ставки экологического сбора рассчитываются по</w:t>
      </w:r>
      <w:r w:rsidR="00EB6678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каждой группе товаров</w:t>
      </w:r>
      <w:r w:rsidR="00EB6678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F83212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и (или) </w:t>
      </w:r>
      <w:r w:rsidR="00EB6678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упаковк</w:t>
      </w:r>
      <w:r w:rsidR="00F83212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и</w:t>
      </w:r>
      <w:r w:rsidR="00EB6678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,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включенных в перечень товаров</w:t>
      </w:r>
      <w:r w:rsidR="00F83212" w:rsidRPr="002F4A38">
        <w:t xml:space="preserve"> </w:t>
      </w:r>
      <w:r w:rsidR="00F83212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упаковки, </w:t>
      </w:r>
      <w:proofErr w:type="gramStart"/>
      <w:r w:rsidR="00F83212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отходы</w:t>
      </w:r>
      <w:proofErr w:type="gramEnd"/>
      <w:r w:rsidR="00F83212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от использования которых подлежат утилизации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, утвержденный Правительством Российской Федерации в соответствии с пунктом 5 статьи 24.2 Федерального закона «Об отходах производства и потребления».</w:t>
      </w:r>
    </w:p>
    <w:p w14:paraId="6911C65E" w14:textId="77777777" w:rsidR="00547497" w:rsidRPr="002F4A38" w:rsidRDefault="003C1D0C">
      <w:pPr>
        <w:spacing w:after="240"/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bookmarkStart w:id="2" w:name="_Hlk74043243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5. Базовая ставка экологического сбора (БСЭС) по группе товаров, </w:t>
      </w:r>
      <w:r w:rsidR="00EB6678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в том числе товаров, являющихся упаковкой,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упаковки товаров на 1 тонну выпущенного товара, упаковки товаров определяется по формуле:</w:t>
      </w:r>
    </w:p>
    <w:p w14:paraId="69F403C0" w14:textId="77777777" w:rsidR="00547497" w:rsidRPr="002F4A38" w:rsidRDefault="003C1D0C">
      <w:pPr>
        <w:ind w:firstLine="0"/>
        <w:jc w:val="center"/>
        <w:rPr>
          <w:rFonts w:eastAsia="Calibri"/>
          <w:color w:val="auto"/>
          <w:sz w:val="26"/>
          <w:szCs w:val="26"/>
          <w:shd w:val="clear" w:color="auto" w:fill="FFFFFF"/>
          <w:vertAlign w:val="subscript"/>
          <w:lang w:eastAsia="en-US"/>
        </w:rPr>
      </w:pPr>
      <w:r w:rsidRPr="002F4A38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 xml:space="preserve">БСЭС = </w:t>
      </w:r>
      <w:bookmarkStart w:id="3" w:name="_Hlk78817327"/>
      <w:proofErr w:type="spellStart"/>
      <w:r w:rsidRPr="002F4A38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Зс</w:t>
      </w:r>
      <w:proofErr w:type="spellEnd"/>
      <w:r w:rsidRPr="002F4A38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/</w:t>
      </w:r>
      <w:proofErr w:type="spellStart"/>
      <w:r w:rsidRPr="002F4A38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нак</w:t>
      </w:r>
      <w:proofErr w:type="spellEnd"/>
      <w:r w:rsidRPr="002F4A38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(уд)</w:t>
      </w:r>
      <w:bookmarkEnd w:id="3"/>
      <w:r w:rsidRPr="002F4A38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 xml:space="preserve"> + </w:t>
      </w:r>
      <w:proofErr w:type="spellStart"/>
      <w:r w:rsidRPr="002F4A38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Зтранспорт</w:t>
      </w:r>
      <w:proofErr w:type="spellEnd"/>
      <w:r w:rsidRPr="002F4A38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 xml:space="preserve">(уд) + </w:t>
      </w:r>
      <w:bookmarkStart w:id="4" w:name="_Hlk78817251"/>
      <w:proofErr w:type="spellStart"/>
      <w:r w:rsidRPr="002F4A38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Зобработка</w:t>
      </w:r>
      <w:proofErr w:type="spellEnd"/>
      <w:r w:rsidRPr="002F4A38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 xml:space="preserve">(уд) + </w:t>
      </w:r>
      <w:proofErr w:type="spellStart"/>
      <w:r w:rsidRPr="002F4A38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З</w:t>
      </w:r>
      <w:bookmarkEnd w:id="4"/>
      <w:r w:rsidRPr="002F4A38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утил</w:t>
      </w:r>
      <w:proofErr w:type="spellEnd"/>
      <w:r w:rsidRPr="002F4A38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(уд)</w:t>
      </w:r>
      <w:r w:rsidR="00F9072C" w:rsidRPr="002F4A38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,</w:t>
      </w:r>
    </w:p>
    <w:p w14:paraId="5140C367" w14:textId="77777777" w:rsidR="00547497" w:rsidRPr="002F4A38" w:rsidRDefault="00547497">
      <w:pPr>
        <w:ind w:firstLine="0"/>
        <w:jc w:val="center"/>
        <w:rPr>
          <w:rFonts w:eastAsia="Calibri"/>
          <w:color w:val="auto"/>
          <w:szCs w:val="28"/>
          <w:shd w:val="clear" w:color="auto" w:fill="FFFFFF"/>
          <w:lang w:eastAsia="en-US"/>
        </w:rPr>
      </w:pPr>
    </w:p>
    <w:p w14:paraId="3C951A6A" w14:textId="77777777" w:rsidR="00547497" w:rsidRPr="002F4A38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где:</w:t>
      </w:r>
      <w:bookmarkEnd w:id="2"/>
    </w:p>
    <w:p w14:paraId="3F231FBC" w14:textId="77777777" w:rsidR="00547497" w:rsidRPr="002F4A38" w:rsidRDefault="003C1D0C">
      <w:pPr>
        <w:spacing w:after="120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с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/</w:t>
      </w:r>
      <w:proofErr w:type="spellStart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нак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(уд)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удельные ежегодные операционные и капитальные затраты на сбор и накопление ОИТ, за исключением затрат на транспортирование, руб./т.;</w:t>
      </w:r>
    </w:p>
    <w:p w14:paraId="41855739" w14:textId="77777777" w:rsidR="00547497" w:rsidRPr="002F4A38" w:rsidRDefault="003C1D0C">
      <w:pPr>
        <w:spacing w:after="120"/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          </w:t>
      </w: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транспорт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(уд)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удельные ежегодные затраты на транспортирование ОИТ, руб./т., включающие капитальные вложения (в виде амортизационных отчислений) и операционные расходы, руб./т;</w:t>
      </w:r>
    </w:p>
    <w:p w14:paraId="336FFD13" w14:textId="77777777" w:rsidR="00547497" w:rsidRPr="002F4A38" w:rsidRDefault="003C1D0C">
      <w:pPr>
        <w:spacing w:after="120"/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обработка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(уд)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удельные ежегодные затраты на обработку ОИТ, руб./т., включающие капитальные вложения (в виде амортизационных отчислений) и операционные расходы, руб./т;</w:t>
      </w:r>
    </w:p>
    <w:p w14:paraId="6A4C93CC" w14:textId="77777777" w:rsidR="00547497" w:rsidRPr="002F4A38" w:rsidRDefault="003C1D0C">
      <w:pPr>
        <w:spacing w:after="120"/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          </w:t>
      </w: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утил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(уд)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удельные ежегодные операционные и капитальные затраты на утилизацию ОИТ, </w:t>
      </w:r>
      <w:bookmarkStart w:id="5" w:name="_Hlk78817355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руб./т</w:t>
      </w:r>
      <w:bookmarkEnd w:id="5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.</w:t>
      </w:r>
    </w:p>
    <w:p w14:paraId="16CEE768" w14:textId="77777777" w:rsidR="00547497" w:rsidRPr="002F4A38" w:rsidRDefault="00547497">
      <w:pPr>
        <w:spacing w:after="120"/>
        <w:ind w:firstLine="0"/>
        <w:rPr>
          <w:rFonts w:eastAsia="Calibri"/>
          <w:color w:val="auto"/>
          <w:sz w:val="18"/>
          <w:szCs w:val="18"/>
          <w:shd w:val="clear" w:color="auto" w:fill="FFFFFF"/>
          <w:lang w:eastAsia="en-US"/>
        </w:rPr>
      </w:pPr>
    </w:p>
    <w:p w14:paraId="1A9042A5" w14:textId="77777777" w:rsidR="00547497" w:rsidRPr="002F4A38" w:rsidRDefault="003C1D0C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6.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ab/>
        <w:t xml:space="preserve">Затраты по показателю </w:t>
      </w: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с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/</w:t>
      </w:r>
      <w:proofErr w:type="spellStart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нак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(уд)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(удельные ежегодные операционные затраты на сбор и накопление определенного ОИТ, руб./т.) определяются по формуле:</w:t>
      </w:r>
    </w:p>
    <w:p w14:paraId="2B5980D2" w14:textId="77777777" w:rsidR="00547497" w:rsidRPr="002F4A38" w:rsidRDefault="00547497">
      <w:pPr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</w:p>
    <w:p w14:paraId="23AFB9B4" w14:textId="77777777" w:rsidR="00547497" w:rsidRPr="002F4A38" w:rsidRDefault="002F4A38">
      <w:pPr>
        <w:ind w:firstLine="0"/>
        <w:jc w:val="center"/>
        <w:rPr>
          <w:rFonts w:eastAsia="Calibri"/>
          <w:i/>
          <w:color w:val="auto"/>
          <w:szCs w:val="28"/>
          <w:shd w:val="clear" w:color="auto" w:fill="FFFFFF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color w:val="auto"/>
                <w:szCs w:val="28"/>
                <w:shd w:val="clear" w:color="auto" w:fill="FFFFFF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auto"/>
                <w:szCs w:val="28"/>
                <w:shd w:val="clear" w:color="auto" w:fill="FFFFFF"/>
                <w:lang w:eastAsia="en-US"/>
              </w:rPr>
              <m:t>З</m:t>
            </m:r>
          </m:e>
          <m:sub>
            <m:r>
              <w:rPr>
                <w:rFonts w:ascii="Cambria Math" w:eastAsia="Calibri" w:hAnsi="Cambria Math"/>
                <w:color w:val="auto"/>
                <w:szCs w:val="28"/>
                <w:shd w:val="clear" w:color="auto" w:fill="FFFFFF"/>
                <w:lang w:eastAsia="en-US"/>
              </w:rPr>
              <m:t>с/нак(уд)</m:t>
            </m:r>
          </m:sub>
        </m:sSub>
        <m:r>
          <w:rPr>
            <w:rFonts w:ascii="Cambria Math" w:eastAsia="Calibri" w:hAnsi="Cambria Math"/>
            <w:color w:val="auto"/>
            <w:szCs w:val="28"/>
            <w:shd w:val="clear" w:color="auto" w:fill="FFFFFF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color w:val="auto"/>
                <w:szCs w:val="28"/>
                <w:shd w:val="clear" w:color="auto" w:fill="FFFFFF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color w:val="auto"/>
                    <w:szCs w:val="28"/>
                    <w:shd w:val="clear" w:color="auto" w:fill="FFFFFF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С</m:t>
                </m:r>
              </m:e>
              <m:sub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к</m:t>
                </m:r>
              </m:sub>
            </m:sSub>
            <m:r>
              <w:rPr>
                <w:rFonts w:ascii="Cambria Math" w:eastAsia="Calibri" w:hAnsi="Cambria Math"/>
                <w:color w:val="auto"/>
                <w:szCs w:val="28"/>
                <w:shd w:val="clear" w:color="auto" w:fill="FFFFFF"/>
                <w:lang w:eastAsia="en-US"/>
              </w:rPr>
              <m:t>×</m:t>
            </m:r>
            <m:sSub>
              <m:sSubPr>
                <m:ctrlPr>
                  <w:rPr>
                    <w:rFonts w:ascii="Cambria Math" w:eastAsia="Calibri" w:hAnsi="Cambria Math"/>
                    <w:i/>
                    <w:color w:val="auto"/>
                    <w:szCs w:val="28"/>
                    <w:shd w:val="clear" w:color="auto" w:fill="FFFFFF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ТС</m:t>
                </m:r>
              </m:e>
              <m:sub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к</m:t>
                </m:r>
              </m:sub>
            </m:sSub>
            <m:r>
              <w:rPr>
                <w:rFonts w:ascii="Cambria Math" w:eastAsia="Calibri" w:hAnsi="Cambria Math"/>
                <w:color w:val="auto"/>
                <w:szCs w:val="28"/>
                <w:shd w:val="clear" w:color="auto" w:fill="FFFFFF"/>
                <w:lang w:eastAsia="en-US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color w:val="auto"/>
                    <w:szCs w:val="28"/>
                    <w:shd w:val="clear" w:color="auto" w:fill="FFFFFF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С</m:t>
                </m:r>
              </m:e>
              <m:sub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к</m:t>
                </m:r>
              </m:sub>
            </m:sSub>
            <m:r>
              <w:rPr>
                <w:rFonts w:ascii="Cambria Math" w:eastAsia="Calibri" w:hAnsi="Cambria Math"/>
                <w:color w:val="auto"/>
                <w:szCs w:val="28"/>
                <w:shd w:val="clear" w:color="auto" w:fill="FFFFFF"/>
                <w:lang w:eastAsia="en-US"/>
              </w:rPr>
              <m:t>/</m:t>
            </m:r>
            <m:sSub>
              <m:sSubPr>
                <m:ctrlPr>
                  <w:rPr>
                    <w:rFonts w:ascii="Cambria Math" w:eastAsia="Calibri" w:hAnsi="Cambria Math"/>
                    <w:i/>
                    <w:color w:val="auto"/>
                    <w:szCs w:val="28"/>
                    <w:shd w:val="clear" w:color="auto" w:fill="FFFFFF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Т</m:t>
                </m:r>
              </m:e>
              <m:sub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экспл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color w:val="auto"/>
                    <w:szCs w:val="28"/>
                    <w:shd w:val="clear" w:color="auto" w:fill="FFFFFF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К</m:t>
                </m:r>
              </m:e>
              <m:sub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вывоз</m:t>
                </m:r>
              </m:sub>
            </m:sSub>
            <m:r>
              <w:rPr>
                <w:rFonts w:ascii="Cambria Math" w:eastAsia="Calibri" w:hAnsi="Cambria Math"/>
                <w:color w:val="auto"/>
                <w:szCs w:val="28"/>
                <w:shd w:val="clear" w:color="auto" w:fill="FFFFFF"/>
                <w:lang w:eastAsia="en-US"/>
              </w:rPr>
              <m:t>×</m:t>
            </m:r>
            <m:sSub>
              <m:sSubPr>
                <m:ctrlPr>
                  <w:rPr>
                    <w:rFonts w:ascii="Cambria Math" w:eastAsia="Calibri" w:hAnsi="Cambria Math"/>
                    <w:i/>
                    <w:color w:val="auto"/>
                    <w:szCs w:val="28"/>
                    <w:shd w:val="clear" w:color="auto" w:fill="FFFFFF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М</m:t>
                </m:r>
              </m:e>
              <m:sub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нак</m:t>
                </m:r>
              </m:sub>
            </m:sSub>
          </m:den>
        </m:f>
        <m:r>
          <w:rPr>
            <w:rFonts w:ascii="Cambria Math" w:eastAsia="Calibri" w:hAnsi="Cambria Math"/>
            <w:color w:val="auto"/>
            <w:szCs w:val="28"/>
            <w:shd w:val="clear" w:color="auto" w:fill="FFFFFF"/>
            <w:lang w:eastAsia="en-US"/>
          </w:rPr>
          <m:t>,</m:t>
        </m:r>
      </m:oMath>
      <w:r w:rsidR="00F9072C" w:rsidRPr="002F4A38">
        <w:rPr>
          <w:rFonts w:eastAsia="Calibri"/>
          <w:i/>
          <w:color w:val="auto"/>
          <w:szCs w:val="28"/>
          <w:shd w:val="clear" w:color="auto" w:fill="FFFFFF"/>
          <w:lang w:eastAsia="en-US"/>
        </w:rPr>
        <w:t xml:space="preserve"> </w:t>
      </w:r>
    </w:p>
    <w:p w14:paraId="2773F7D2" w14:textId="77777777" w:rsidR="00547497" w:rsidRPr="002F4A38" w:rsidRDefault="00547497">
      <w:pPr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</w:p>
    <w:p w14:paraId="26F70D6E" w14:textId="77777777" w:rsidR="00547497" w:rsidRPr="002F4A38" w:rsidRDefault="003C1D0C">
      <w:pPr>
        <w:tabs>
          <w:tab w:val="left" w:pos="709"/>
          <w:tab w:val="left" w:pos="851"/>
        </w:tabs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где:</w:t>
      </w:r>
    </w:p>
    <w:p w14:paraId="6ECAFC24" w14:textId="77777777" w:rsidR="00547497" w:rsidRPr="002F4A38" w:rsidRDefault="003C1D0C">
      <w:pPr>
        <w:tabs>
          <w:tab w:val="left" w:pos="709"/>
          <w:tab w:val="left" w:pos="851"/>
        </w:tabs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lastRenderedPageBreak/>
        <w:t>C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к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удельные затраты на приобретение (стоимость) одного контейнера для накопления ОИТ,</w:t>
      </w:r>
      <w:r w:rsidRPr="002F4A38">
        <w:rPr>
          <w:rStyle w:val="aff2"/>
          <w:rFonts w:eastAsia="Calibri"/>
          <w:color w:val="auto"/>
          <w:szCs w:val="28"/>
          <w:shd w:val="clear" w:color="auto" w:fill="FFFFFF"/>
          <w:lang w:eastAsia="en-US"/>
        </w:rPr>
        <w:footnoteReference w:id="1"/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руб.;</w:t>
      </w:r>
    </w:p>
    <w:p w14:paraId="7C37E058" w14:textId="77777777" w:rsidR="00547497" w:rsidRPr="002F4A38" w:rsidRDefault="003C1D0C">
      <w:pPr>
        <w:tabs>
          <w:tab w:val="left" w:pos="709"/>
          <w:tab w:val="left" w:pos="851"/>
        </w:tabs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ТС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к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= 0,02 - удельные годовые расходы на техническое содержание контейнеров для накопления ОИТ</w:t>
      </w:r>
      <w:r w:rsidRPr="002F4A38">
        <w:rPr>
          <w:rStyle w:val="aff2"/>
          <w:rFonts w:eastAsia="Calibri"/>
          <w:color w:val="auto"/>
          <w:szCs w:val="28"/>
          <w:shd w:val="clear" w:color="auto" w:fill="FFFFFF"/>
          <w:lang w:eastAsia="en-US"/>
        </w:rPr>
        <w:footnoteReference w:id="2"/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;</w:t>
      </w:r>
    </w:p>
    <w:p w14:paraId="06A68622" w14:textId="77777777" w:rsidR="00547497" w:rsidRPr="002F4A38" w:rsidRDefault="003C1D0C">
      <w:pPr>
        <w:tabs>
          <w:tab w:val="left" w:pos="709"/>
          <w:tab w:val="left" w:pos="851"/>
        </w:tabs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вывоз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- </w:t>
      </w:r>
      <w:r w:rsidRPr="002F4A38">
        <w:t>количество вывозов ОИТ с мест (площадок) накопления в год</w:t>
      </w:r>
      <w:r w:rsidRPr="002F4A38">
        <w:rPr>
          <w:rStyle w:val="aff2"/>
        </w:rPr>
        <w:footnoteReference w:id="3"/>
      </w:r>
      <w:r w:rsidRPr="002F4A38">
        <w:t>, ед.;</w:t>
      </w:r>
    </w:p>
    <w:p w14:paraId="3D748B10" w14:textId="77777777" w:rsidR="00547497" w:rsidRPr="002F4A38" w:rsidRDefault="003C1D0C">
      <w:pPr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         </w:t>
      </w:r>
      <w:r w:rsidRPr="002F4A38">
        <w:rPr>
          <w:rFonts w:eastAsia="Calibri"/>
          <w:color w:val="auto"/>
          <w:szCs w:val="28"/>
          <w:shd w:val="clear" w:color="auto" w:fill="FFFFFF"/>
          <w:lang w:val="en-US" w:eastAsia="en-US"/>
        </w:rPr>
        <w:t>M</w:t>
      </w:r>
      <w:proofErr w:type="spellStart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нак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средняя вместимость одного контейнера для накопления ОИТ</w:t>
      </w:r>
      <w:r w:rsidRPr="002F4A38">
        <w:rPr>
          <w:rStyle w:val="aff2"/>
          <w:rFonts w:eastAsia="Calibri"/>
          <w:color w:val="auto"/>
          <w:szCs w:val="28"/>
          <w:shd w:val="clear" w:color="auto" w:fill="FFFFFF"/>
          <w:lang w:eastAsia="en-US"/>
        </w:rPr>
        <w:footnoteReference w:id="4"/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, т</w:t>
      </w:r>
      <w:r w:rsidR="00490729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;</w:t>
      </w:r>
    </w:p>
    <w:p w14:paraId="3B07ADF1" w14:textId="77777777" w:rsidR="00547497" w:rsidRPr="002F4A38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Т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экспл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общий проектный срок эксплуатации</w:t>
      </w:r>
      <w:r w:rsidRPr="002F4A38">
        <w:rPr>
          <w:rFonts w:eastAsia="Calibri"/>
          <w:color w:val="auto"/>
          <w:szCs w:val="28"/>
          <w:shd w:val="clear" w:color="auto" w:fill="FFFFFF"/>
          <w:vertAlign w:val="superscript"/>
          <w:lang w:eastAsia="en-US"/>
        </w:rPr>
        <w:footnoteReference w:id="5"/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контейнера, (лет);</w:t>
      </w:r>
    </w:p>
    <w:p w14:paraId="30A8DB2E" w14:textId="77777777" w:rsidR="00547497" w:rsidRPr="002F4A38" w:rsidRDefault="00547497">
      <w:pPr>
        <w:ind w:firstLine="0"/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</w:pPr>
    </w:p>
    <w:p w14:paraId="58ED4B60" w14:textId="77777777" w:rsidR="00547497" w:rsidRPr="002F4A38" w:rsidRDefault="003C1D0C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7.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ab/>
        <w:t xml:space="preserve">Затраты по показателю </w:t>
      </w: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транспорт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(уд)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включают ежегодные удельные затраты на транспортирование 1 тонны ОИТ</w:t>
      </w:r>
      <w:r w:rsidR="009D35E0" w:rsidRPr="002F4A38">
        <w:rPr>
          <w:rStyle w:val="aff2"/>
          <w:rFonts w:eastAsia="Calibri"/>
          <w:color w:val="auto"/>
          <w:szCs w:val="28"/>
          <w:shd w:val="clear" w:color="auto" w:fill="FFFFFF"/>
          <w:lang w:eastAsia="en-US"/>
        </w:rPr>
        <w:footnoteReference w:id="6"/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, руб. и определяются по формуле:</w:t>
      </w:r>
    </w:p>
    <w:p w14:paraId="22718FA6" w14:textId="77777777" w:rsidR="00547497" w:rsidRPr="002F4A38" w:rsidRDefault="00F9072C">
      <w:pPr>
        <w:ind w:firstLine="0"/>
        <w:jc w:val="center"/>
        <w:rPr>
          <w:rFonts w:eastAsia="Calibri"/>
          <w:color w:val="auto"/>
          <w:szCs w:val="28"/>
          <w:shd w:val="clear" w:color="auto" w:fill="FFFFFF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З</m:t>
          </m:r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vertAlign w:val="subscript"/>
              <w:lang w:eastAsia="en-US"/>
            </w:rPr>
            <m:t>транспорт</m:t>
          </m:r>
          <m:d>
            <m:dPr>
              <m:ctrlP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vertAlign w:val="subscript"/>
                  <w:lang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vertAlign w:val="subscript"/>
                  <w:lang w:eastAsia="en-US"/>
                </w:rPr>
                <m:t>уд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color w:val="auto"/>
                  <w:szCs w:val="28"/>
                  <w:shd w:val="clear" w:color="auto" w:fill="FFFFFF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З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то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М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т</m:t>
                  </m:r>
                </m:sub>
              </m:sSub>
            </m:den>
          </m:f>
          <m: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,</m:t>
          </m:r>
        </m:oMath>
      </m:oMathPara>
    </w:p>
    <w:p w14:paraId="79A08AC0" w14:textId="77777777" w:rsidR="00547497" w:rsidRPr="002F4A38" w:rsidRDefault="003C1D0C">
      <w:pPr>
        <w:rPr>
          <w:rFonts w:eastAsia="Calibri"/>
          <w:color w:val="auto"/>
          <w:szCs w:val="28"/>
          <w:shd w:val="clear" w:color="auto" w:fill="FFFFFF"/>
        </w:rPr>
      </w:pPr>
      <w:r w:rsidRPr="002F4A38">
        <w:rPr>
          <w:rFonts w:eastAsia="Calibri"/>
          <w:color w:val="auto"/>
          <w:szCs w:val="28"/>
          <w:shd w:val="clear" w:color="auto" w:fill="FFFFFF"/>
        </w:rPr>
        <w:t>где:</w:t>
      </w:r>
    </w:p>
    <w:p w14:paraId="1EF7D17A" w14:textId="77777777" w:rsidR="00547497" w:rsidRPr="002F4A38" w:rsidRDefault="003C1D0C">
      <w:pPr>
        <w:rPr>
          <w:rFonts w:eastAsia="Calibri"/>
          <w:color w:val="auto"/>
          <w:szCs w:val="28"/>
          <w:shd w:val="clear" w:color="auto" w:fill="FFFFFF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то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</w:rPr>
        <w:t xml:space="preserve"> – сумма годовых затрат на транспортирование ОИТ, руб.;</w:t>
      </w:r>
    </w:p>
    <w:p w14:paraId="242BF430" w14:textId="77777777" w:rsidR="00547497" w:rsidRPr="002F4A38" w:rsidRDefault="003C1D0C">
      <w:pPr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         М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т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– общая масса транспортируемых ОИТ, т. </w:t>
      </w:r>
    </w:p>
    <w:p w14:paraId="45439820" w14:textId="77777777" w:rsidR="00547497" w:rsidRPr="002F4A38" w:rsidRDefault="00547497">
      <w:pPr>
        <w:ind w:firstLine="708"/>
        <w:rPr>
          <w:rFonts w:eastAsia="Calibri"/>
          <w:color w:val="auto"/>
          <w:sz w:val="12"/>
          <w:szCs w:val="12"/>
          <w:shd w:val="clear" w:color="auto" w:fill="FFFFFF"/>
          <w:lang w:eastAsia="en-US"/>
        </w:rPr>
      </w:pPr>
    </w:p>
    <w:p w14:paraId="4D2FD06D" w14:textId="77777777" w:rsidR="00547497" w:rsidRPr="002F4A38" w:rsidRDefault="003C1D0C">
      <w:pPr>
        <w:spacing w:after="240"/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8. Ежегодные удельные затраты на обработку ОИТ определяются по формуле:</w:t>
      </w:r>
    </w:p>
    <w:p w14:paraId="3E5BC668" w14:textId="69F12C8C" w:rsidR="00547497" w:rsidRPr="002F4A38" w:rsidRDefault="00F9072C" w:rsidP="009D35E0">
      <w:pPr>
        <w:spacing w:after="240"/>
        <w:ind w:firstLine="708"/>
        <w:jc w:val="center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,</w:t>
      </w:r>
    </w:p>
    <w:p w14:paraId="61D75155" w14:textId="77777777" w:rsidR="009D35E0" w:rsidRPr="002F4A38" w:rsidRDefault="009D35E0" w:rsidP="009D35E0">
      <w:pPr>
        <w:spacing w:after="240"/>
        <w:ind w:firstLine="708"/>
        <w:jc w:val="center"/>
        <w:rPr>
          <w:rFonts w:eastAsia="Calibri"/>
          <w:color w:val="auto"/>
          <w:szCs w:val="28"/>
          <w:shd w:val="clear" w:color="auto" w:fill="FFFFFF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З</m:t>
          </m:r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vertAlign w:val="subscript"/>
              <w:lang w:eastAsia="en-US"/>
            </w:rPr>
            <m:t>обработка</m:t>
          </m:r>
          <m:d>
            <m:dPr>
              <m:ctrlP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vertAlign w:val="subscript"/>
                  <w:lang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vertAlign w:val="subscript"/>
                  <w:lang w:eastAsia="en-US"/>
                </w:rPr>
                <m:t>уд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ЗО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обработка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ПМ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объекта</m:t>
                  </m:r>
                </m:sub>
              </m:sSub>
            </m:den>
          </m:f>
          <m: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+</m:t>
          </m:r>
          <m:f>
            <m:fPr>
              <m:ctrlPr>
                <w:rPr>
                  <w:rFonts w:ascii="Cambria Math" w:eastAsia="Calibri" w:hAnsi="Cambria Math"/>
                  <w:i/>
                  <w:color w:val="auto"/>
                  <w:szCs w:val="28"/>
                  <w:shd w:val="clear" w:color="auto" w:fill="FFFFFF"/>
                  <w:lang w:eastAsia="en-US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  <m:t>обработки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  <m:t>ПС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  <m:t>экспл</m:t>
                      </m:r>
                    </m:sub>
                  </m:sSub>
                </m:den>
              </m:f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ПМ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объекта</m:t>
                  </m:r>
                </m:sub>
              </m:sSub>
            </m:den>
          </m:f>
        </m:oMath>
      </m:oMathPara>
    </w:p>
    <w:p w14:paraId="1C5803A5" w14:textId="77777777" w:rsidR="00547497" w:rsidRPr="002F4A38" w:rsidRDefault="003C1D0C">
      <w:pPr>
        <w:rPr>
          <w:rFonts w:eastAsia="Calibri"/>
          <w:color w:val="auto"/>
          <w:szCs w:val="28"/>
          <w:shd w:val="clear" w:color="auto" w:fill="FFFFFF"/>
        </w:rPr>
      </w:pPr>
      <w:r w:rsidRPr="002F4A38">
        <w:rPr>
          <w:rFonts w:eastAsia="Calibri"/>
          <w:color w:val="auto"/>
          <w:szCs w:val="28"/>
          <w:shd w:val="clear" w:color="auto" w:fill="FFFFFF"/>
        </w:rPr>
        <w:t>где:</w:t>
      </w:r>
    </w:p>
    <w:p w14:paraId="77909BA4" w14:textId="6446E5AD" w:rsidR="00201F05" w:rsidRPr="002F4A38" w:rsidRDefault="003C1D0C" w:rsidP="00201F05">
      <w:pPr>
        <w:rPr>
          <w:rFonts w:eastAsia="Calibri"/>
          <w:color w:val="auto"/>
          <w:szCs w:val="28"/>
          <w:shd w:val="clear" w:color="auto" w:fill="FFFFFF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proofErr w:type="gramStart"/>
      <w:r w:rsidR="00201F05" w:rsidRPr="002F4A38">
        <w:rPr>
          <w:rFonts w:eastAsia="Calibri"/>
          <w:color w:val="auto"/>
          <w:szCs w:val="28"/>
          <w:shd w:val="clear" w:color="auto" w:fill="FFFFFF"/>
          <w:lang w:val="en-US" w:eastAsia="en-US"/>
        </w:rPr>
        <w:t>O</w:t>
      </w:r>
      <w:proofErr w:type="gram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о</w:t>
      </w:r>
      <w:r w:rsidR="00201F05"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бработка</w:t>
      </w:r>
      <w:r w:rsidRPr="002F4A38">
        <w:rPr>
          <w:rFonts w:eastAsia="Calibri"/>
          <w:color w:val="auto"/>
          <w:szCs w:val="28"/>
          <w:shd w:val="clear" w:color="auto" w:fill="FFFFFF"/>
        </w:rPr>
        <w:t xml:space="preserve"> –</w:t>
      </w:r>
      <w:r w:rsidR="00201F05" w:rsidRPr="002F4A38">
        <w:rPr>
          <w:rFonts w:eastAsia="Calibri"/>
          <w:color w:val="auto"/>
          <w:szCs w:val="28"/>
          <w:shd w:val="clear" w:color="auto" w:fill="FFFFFF"/>
        </w:rPr>
        <w:t xml:space="preserve"> операционные </w:t>
      </w:r>
      <w:r w:rsidRPr="002F4A38">
        <w:rPr>
          <w:rFonts w:eastAsia="Calibri"/>
          <w:color w:val="auto"/>
          <w:szCs w:val="28"/>
          <w:shd w:val="clear" w:color="auto" w:fill="FFFFFF"/>
        </w:rPr>
        <w:t>затрат</w:t>
      </w:r>
      <w:r w:rsidR="00201F05" w:rsidRPr="002F4A38">
        <w:rPr>
          <w:rFonts w:eastAsia="Calibri"/>
          <w:color w:val="auto"/>
          <w:szCs w:val="28"/>
          <w:shd w:val="clear" w:color="auto" w:fill="FFFFFF"/>
        </w:rPr>
        <w:t>ы</w:t>
      </w:r>
      <w:r w:rsidRPr="002F4A38">
        <w:rPr>
          <w:rFonts w:eastAsia="Calibri"/>
          <w:color w:val="auto"/>
          <w:szCs w:val="28"/>
          <w:shd w:val="clear" w:color="auto" w:fill="FFFFFF"/>
        </w:rPr>
        <w:t xml:space="preserve"> на обработку ОИТ</w:t>
      </w:r>
      <w:r w:rsidR="00201F05" w:rsidRPr="002F4A38">
        <w:rPr>
          <w:rStyle w:val="aff2"/>
          <w:rFonts w:eastAsia="Calibri"/>
          <w:color w:val="auto"/>
          <w:szCs w:val="28"/>
          <w:shd w:val="clear" w:color="auto" w:fill="FFFFFF"/>
        </w:rPr>
        <w:footnoteReference w:id="7"/>
      </w:r>
      <w:r w:rsidRPr="002F4A38">
        <w:rPr>
          <w:rFonts w:eastAsia="Calibri"/>
          <w:color w:val="auto"/>
          <w:szCs w:val="28"/>
          <w:shd w:val="clear" w:color="auto" w:fill="FFFFFF"/>
        </w:rPr>
        <w:t>, руб.</w:t>
      </w:r>
      <w:r w:rsidR="00201F05" w:rsidRPr="002F4A38">
        <w:rPr>
          <w:rFonts w:eastAsia="Calibri"/>
          <w:color w:val="auto"/>
          <w:szCs w:val="28"/>
          <w:shd w:val="clear" w:color="auto" w:fill="FFFFFF"/>
        </w:rPr>
        <w:t xml:space="preserve">, и включают: </w:t>
      </w:r>
    </w:p>
    <w:p w14:paraId="01AFE675" w14:textId="77777777" w:rsidR="00201F05" w:rsidRPr="002F4A38" w:rsidRDefault="00201F05" w:rsidP="00201F05">
      <w:pPr>
        <w:rPr>
          <w:rFonts w:eastAsia="Calibri"/>
          <w:color w:val="auto"/>
          <w:szCs w:val="28"/>
          <w:shd w:val="clear" w:color="auto" w:fill="FFFFFF"/>
        </w:rPr>
      </w:pPr>
      <w:r w:rsidRPr="002F4A38">
        <w:rPr>
          <w:rFonts w:eastAsia="Calibri"/>
          <w:color w:val="auto"/>
          <w:szCs w:val="28"/>
          <w:shd w:val="clear" w:color="auto" w:fill="FFFFFF"/>
        </w:rPr>
        <w:lastRenderedPageBreak/>
        <w:t xml:space="preserve">- расходы на приобретаемые энергетические ресурсы; </w:t>
      </w:r>
    </w:p>
    <w:p w14:paraId="5428BDFD" w14:textId="77777777" w:rsidR="00547497" w:rsidRPr="002F4A38" w:rsidRDefault="00201F05" w:rsidP="00201F05">
      <w:pPr>
        <w:rPr>
          <w:rFonts w:eastAsia="Calibri"/>
          <w:color w:val="auto"/>
          <w:szCs w:val="28"/>
          <w:shd w:val="clear" w:color="auto" w:fill="FFFFFF"/>
        </w:rPr>
      </w:pPr>
      <w:r w:rsidRPr="002F4A38">
        <w:rPr>
          <w:rFonts w:eastAsia="Calibri"/>
          <w:color w:val="auto"/>
          <w:szCs w:val="28"/>
          <w:shd w:val="clear" w:color="auto" w:fill="FFFFFF"/>
        </w:rPr>
        <w:t>- расходы на оплату труда и отчисления на социальные нужды инженерно-технических работников.</w:t>
      </w:r>
    </w:p>
    <w:p w14:paraId="3A0D888D" w14:textId="77777777" w:rsidR="00201F05" w:rsidRPr="002F4A38" w:rsidRDefault="00201F05" w:rsidP="00201F05">
      <w:pPr>
        <w:rPr>
          <w:rFonts w:eastAsia="Calibri"/>
          <w:color w:val="auto"/>
          <w:szCs w:val="28"/>
          <w:shd w:val="clear" w:color="auto" w:fill="FFFFFF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</w:rPr>
        <w:t>С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</w:rPr>
        <w:t>обработки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</w:rPr>
        <w:t xml:space="preserve"> – капитальные затраты на объект обработки</w:t>
      </w:r>
      <w:r w:rsidRPr="002F4A38">
        <w:rPr>
          <w:rStyle w:val="aff2"/>
          <w:rFonts w:eastAsia="Calibri"/>
          <w:color w:val="auto"/>
          <w:szCs w:val="28"/>
          <w:shd w:val="clear" w:color="auto" w:fill="FFFFFF"/>
        </w:rPr>
        <w:footnoteReference w:id="8"/>
      </w:r>
      <w:r w:rsidRPr="002F4A38">
        <w:rPr>
          <w:rFonts w:eastAsia="Calibri"/>
          <w:color w:val="auto"/>
          <w:szCs w:val="28"/>
          <w:shd w:val="clear" w:color="auto" w:fill="FFFFFF"/>
        </w:rPr>
        <w:t xml:space="preserve">, руб.; </w:t>
      </w:r>
    </w:p>
    <w:p w14:paraId="343C5A72" w14:textId="77777777" w:rsidR="00201F05" w:rsidRPr="002F4A38" w:rsidRDefault="00201F05" w:rsidP="00201F05">
      <w:pPr>
        <w:rPr>
          <w:rFonts w:eastAsia="Calibri"/>
          <w:color w:val="auto"/>
          <w:szCs w:val="28"/>
          <w:shd w:val="clear" w:color="auto" w:fill="FFFFFF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</w:rPr>
        <w:t>ПС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</w:rPr>
        <w:t>экспл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</w:rPr>
        <w:t xml:space="preserve"> – общий проектный срок эксплуатации</w:t>
      </w:r>
      <w:r w:rsidRPr="002F4A38">
        <w:rPr>
          <w:rStyle w:val="aff2"/>
          <w:rFonts w:eastAsia="Calibri"/>
          <w:color w:val="auto"/>
          <w:szCs w:val="28"/>
          <w:shd w:val="clear" w:color="auto" w:fill="FFFFFF"/>
        </w:rPr>
        <w:footnoteReference w:id="9"/>
      </w:r>
      <w:r w:rsidRPr="002F4A38">
        <w:rPr>
          <w:rFonts w:eastAsia="Calibri"/>
          <w:color w:val="auto"/>
          <w:szCs w:val="28"/>
          <w:shd w:val="clear" w:color="auto" w:fill="FFFFFF"/>
        </w:rPr>
        <w:t xml:space="preserve"> объекта обработки, лет;</w:t>
      </w:r>
    </w:p>
    <w:p w14:paraId="73A7A397" w14:textId="30B1CC86" w:rsidR="00547497" w:rsidRPr="002F4A38" w:rsidRDefault="00201F05">
      <w:pPr>
        <w:spacing w:after="240"/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</w:rPr>
        <w:t>ПМ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</w:rPr>
        <w:t>объекта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</w:rPr>
        <w:t xml:space="preserve"> – проектная мощность</w:t>
      </w:r>
      <w:r w:rsidRPr="002F4A38">
        <w:rPr>
          <w:rStyle w:val="aff2"/>
          <w:rFonts w:eastAsia="Calibri"/>
          <w:color w:val="auto"/>
          <w:szCs w:val="28"/>
          <w:shd w:val="clear" w:color="auto" w:fill="FFFFFF"/>
        </w:rPr>
        <w:footnoteReference w:id="10"/>
      </w:r>
      <w:r w:rsidRPr="002F4A38">
        <w:rPr>
          <w:rFonts w:eastAsia="Calibri"/>
          <w:color w:val="auto"/>
          <w:szCs w:val="28"/>
          <w:shd w:val="clear" w:color="auto" w:fill="FFFFFF"/>
        </w:rPr>
        <w:t xml:space="preserve"> объекта, (тонн/год).</w:t>
      </w:r>
      <w:r w:rsidR="003C1D0C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9.</w:t>
      </w:r>
      <w:r w:rsidR="003C1D0C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ab/>
        <w:t xml:space="preserve">Ежегодные удельные затраты на </w:t>
      </w:r>
      <w:bookmarkStart w:id="7" w:name="_Hlk74163225"/>
      <w:r w:rsidR="003C1D0C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утилизацию ОИТ </w:t>
      </w:r>
      <w:bookmarkEnd w:id="7"/>
      <w:r w:rsidR="003C1D0C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определяются по формуле:</w:t>
      </w:r>
    </w:p>
    <w:p w14:paraId="013BDF54" w14:textId="77777777" w:rsidR="00547497" w:rsidRPr="002F4A38" w:rsidRDefault="003C1D0C" w:rsidP="009D35E0">
      <w:pPr>
        <w:spacing w:after="240"/>
        <w:ind w:firstLine="0"/>
        <w:jc w:val="center"/>
        <w:rPr>
          <w:rFonts w:eastAsia="Calibri"/>
          <w:color w:val="auto"/>
          <w:szCs w:val="28"/>
          <w:shd w:val="clear" w:color="auto" w:fill="FFFFFF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З</m:t>
          </m:r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vertAlign w:val="subscript"/>
              <w:lang w:eastAsia="en-US"/>
            </w:rPr>
            <m:t>утил</m:t>
          </m:r>
          <m:d>
            <m:dPr>
              <m:ctrlP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vertAlign w:val="subscript"/>
                  <w:lang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vertAlign w:val="subscript"/>
                  <w:lang w:eastAsia="en-US"/>
                </w:rPr>
                <m:t>уд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ЗО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утилизация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ПМ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объекта</m:t>
                  </m:r>
                </m:sub>
              </m:sSub>
            </m:den>
          </m:f>
          <m: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+</m:t>
          </m:r>
          <m:f>
            <m:fPr>
              <m:ctrlPr>
                <w:rPr>
                  <w:rFonts w:ascii="Cambria Math" w:eastAsia="Calibri" w:hAnsi="Cambria Math"/>
                  <w:i/>
                  <w:color w:val="auto"/>
                  <w:szCs w:val="28"/>
                  <w:shd w:val="clear" w:color="auto" w:fill="FFFFFF"/>
                  <w:lang w:eastAsia="en-US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  <m:t>общ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  <m:t>ПС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  <m:t>экспл</m:t>
                      </m:r>
                    </m:sub>
                  </m:sSub>
                </m:den>
              </m:f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ПМ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объекта</m:t>
                  </m:r>
                </m:sub>
              </m:sSub>
            </m:den>
          </m:f>
        </m:oMath>
      </m:oMathPara>
      <w:bookmarkStart w:id="8" w:name="_Hlk85531677"/>
      <w:bookmarkEnd w:id="8"/>
    </w:p>
    <w:p w14:paraId="70F35C93" w14:textId="77777777" w:rsidR="00547497" w:rsidRPr="002F4A38" w:rsidRDefault="003C1D0C">
      <w:pPr>
        <w:rPr>
          <w:rFonts w:eastAsia="Calibri"/>
          <w:color w:val="auto"/>
          <w:szCs w:val="28"/>
          <w:shd w:val="clear" w:color="auto" w:fill="FFFFFF"/>
        </w:rPr>
      </w:pPr>
      <w:bookmarkStart w:id="9" w:name="_Hlk78887991"/>
      <w:r w:rsidRPr="002F4A38">
        <w:rPr>
          <w:rFonts w:eastAsia="Calibri"/>
          <w:color w:val="auto"/>
          <w:szCs w:val="28"/>
          <w:shd w:val="clear" w:color="auto" w:fill="FFFFFF"/>
        </w:rPr>
        <w:t>где:</w:t>
      </w:r>
    </w:p>
    <w:p w14:paraId="4333630C" w14:textId="77777777" w:rsidR="00547497" w:rsidRPr="002F4A38" w:rsidRDefault="003C1D0C">
      <w:pPr>
        <w:rPr>
          <w:rFonts w:eastAsia="Calibri"/>
          <w:color w:val="auto"/>
          <w:szCs w:val="28"/>
          <w:shd w:val="clear" w:color="auto" w:fill="FFFFFF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ЗО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утилизация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</w:rPr>
        <w:t xml:space="preserve"> – операционные затраты объектов утилизации ОИТ</w:t>
      </w:r>
      <w:r w:rsidR="006B0008" w:rsidRPr="002F4A38">
        <w:rPr>
          <w:rFonts w:eastAsia="Calibri"/>
          <w:color w:val="auto"/>
          <w:szCs w:val="28"/>
          <w:shd w:val="clear" w:color="auto" w:fill="FFFFFF"/>
          <w:vertAlign w:val="superscript"/>
        </w:rPr>
        <w:t>7</w:t>
      </w:r>
      <w:r w:rsidRPr="002F4A38">
        <w:rPr>
          <w:rFonts w:eastAsia="Calibri"/>
          <w:color w:val="auto"/>
          <w:szCs w:val="28"/>
          <w:shd w:val="clear" w:color="auto" w:fill="FFFFFF"/>
        </w:rPr>
        <w:t xml:space="preserve">, руб., и включают: </w:t>
      </w:r>
    </w:p>
    <w:p w14:paraId="256B9B1A" w14:textId="77777777" w:rsidR="00547497" w:rsidRPr="002F4A38" w:rsidRDefault="003C1D0C">
      <w:pPr>
        <w:rPr>
          <w:rFonts w:eastAsia="Calibri"/>
          <w:color w:val="auto"/>
          <w:szCs w:val="28"/>
          <w:shd w:val="clear" w:color="auto" w:fill="FFFFFF"/>
        </w:rPr>
      </w:pPr>
      <w:r w:rsidRPr="002F4A38">
        <w:rPr>
          <w:rFonts w:eastAsia="Calibri"/>
          <w:color w:val="auto"/>
          <w:szCs w:val="28"/>
          <w:shd w:val="clear" w:color="auto" w:fill="FFFFFF"/>
        </w:rPr>
        <w:t xml:space="preserve">- расходы на приобретаемые энергетические ресурсы; </w:t>
      </w:r>
    </w:p>
    <w:p w14:paraId="2C2A02D2" w14:textId="77777777" w:rsidR="00547497" w:rsidRPr="002F4A38" w:rsidRDefault="003C1D0C">
      <w:pPr>
        <w:rPr>
          <w:rFonts w:eastAsia="Calibri"/>
          <w:color w:val="auto"/>
          <w:szCs w:val="28"/>
          <w:shd w:val="clear" w:color="auto" w:fill="FFFFFF"/>
        </w:rPr>
      </w:pPr>
      <w:r w:rsidRPr="002F4A38">
        <w:rPr>
          <w:rFonts w:eastAsia="Calibri"/>
          <w:color w:val="auto"/>
          <w:szCs w:val="28"/>
          <w:shd w:val="clear" w:color="auto" w:fill="FFFFFF"/>
        </w:rPr>
        <w:t>- расходы на оплату труда и отчисления на социальные нужды инженерно-технических работников;</w:t>
      </w:r>
    </w:p>
    <w:p w14:paraId="62BB0BFA" w14:textId="77777777" w:rsidR="00547497" w:rsidRPr="002F4A38" w:rsidRDefault="003C1D0C">
      <w:pPr>
        <w:rPr>
          <w:rFonts w:eastAsia="Calibri"/>
          <w:color w:val="auto"/>
          <w:szCs w:val="28"/>
          <w:shd w:val="clear" w:color="auto" w:fill="FFFFFF"/>
        </w:rPr>
      </w:pPr>
      <w:r w:rsidRPr="002F4A38">
        <w:rPr>
          <w:rFonts w:eastAsia="Calibri"/>
          <w:color w:val="auto"/>
          <w:szCs w:val="28"/>
          <w:shd w:val="clear" w:color="auto" w:fill="FFFFFF"/>
        </w:rPr>
        <w:t>- затраты на запасные части и расходные материалы.</w:t>
      </w:r>
      <w:bookmarkEnd w:id="9"/>
    </w:p>
    <w:p w14:paraId="3CC75FEB" w14:textId="77777777" w:rsidR="00547497" w:rsidRPr="002F4A38" w:rsidRDefault="003C1D0C">
      <w:pPr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         </w:t>
      </w: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С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общ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общая стоимость</w:t>
      </w:r>
      <w:r w:rsidR="006B0008" w:rsidRPr="002F4A38">
        <w:rPr>
          <w:rFonts w:eastAsia="Calibri"/>
          <w:color w:val="auto"/>
          <w:szCs w:val="28"/>
          <w:shd w:val="clear" w:color="auto" w:fill="FFFFFF"/>
          <w:vertAlign w:val="superscript"/>
          <w:lang w:eastAsia="en-US"/>
        </w:rPr>
        <w:t>8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объекта, руб.; </w:t>
      </w:r>
    </w:p>
    <w:p w14:paraId="47B79C01" w14:textId="77777777" w:rsidR="00547497" w:rsidRPr="002F4A38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bookmarkStart w:id="10" w:name="_Hlk78817873"/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ПС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экспл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общий проектный срок эксплуатации</w:t>
      </w:r>
      <w:r w:rsidR="006B0008" w:rsidRPr="002F4A38">
        <w:rPr>
          <w:rFonts w:eastAsia="Calibri"/>
          <w:color w:val="auto"/>
          <w:szCs w:val="28"/>
          <w:shd w:val="clear" w:color="auto" w:fill="FFFFFF"/>
          <w:vertAlign w:val="superscript"/>
          <w:lang w:eastAsia="en-US"/>
        </w:rPr>
        <w:t>9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объекта, лет;</w:t>
      </w:r>
    </w:p>
    <w:p w14:paraId="69E89FD6" w14:textId="77777777" w:rsidR="00547497" w:rsidRPr="002F4A38" w:rsidRDefault="003C1D0C">
      <w:pPr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         </w:t>
      </w: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ПМ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объекта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проектная мощность</w:t>
      </w:r>
      <w:r w:rsidR="006B0008" w:rsidRPr="002F4A38">
        <w:rPr>
          <w:rFonts w:eastAsia="Calibri"/>
          <w:color w:val="auto"/>
          <w:szCs w:val="28"/>
          <w:shd w:val="clear" w:color="auto" w:fill="FFFFFF"/>
          <w:vertAlign w:val="superscript"/>
          <w:lang w:eastAsia="en-US"/>
        </w:rPr>
        <w:t>10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объекта, (тонн/год).</w:t>
      </w:r>
      <w:bookmarkEnd w:id="10"/>
    </w:p>
    <w:p w14:paraId="1C48CDE7" w14:textId="77777777" w:rsidR="00547497" w:rsidRPr="002F4A38" w:rsidRDefault="003C1D0C">
      <w:pPr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     </w:t>
      </w:r>
    </w:p>
    <w:p w14:paraId="300FE5BE" w14:textId="77777777" w:rsidR="00547497" w:rsidRPr="002F4A38" w:rsidRDefault="003C1D0C">
      <w:pPr>
        <w:spacing w:after="240"/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10. Коэффициент применяется в случае наличия одного или нескольких критериев, определяемых исходя из</w:t>
      </w:r>
      <w:r w:rsidRPr="002F4A38">
        <w:t xml:space="preserve">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сложности извлечения ОИТ для дальнейшей утилизации, наличия технологической возможности их утилизации с учетом изменения физических, химических и</w:t>
      </w:r>
      <w:r w:rsidR="006B0008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механических свойств материалов при многократном использовании </w:t>
      </w:r>
      <w:r w:rsidR="006B0008" w:rsidRPr="002F4A38">
        <w:rPr>
          <w:rFonts w:eastAsia="Calibri"/>
          <w:color w:val="auto"/>
          <w:szCs w:val="28"/>
          <w:shd w:val="clear" w:color="auto" w:fill="FFFFFF"/>
          <w:lang w:eastAsia="en-US"/>
        </w:rPr>
        <w:br/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(с учетом возможных циклов переработки отхода от использования товара), востребованности вторичного сырья для использования при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lastRenderedPageBreak/>
        <w:t>производстве товаров (продукции). Коэффициент определя</w:t>
      </w:r>
      <w:r w:rsidR="00B73431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е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тся по формуле:</w:t>
      </w:r>
    </w:p>
    <w:p w14:paraId="6CED8728" w14:textId="77777777" w:rsidR="00547497" w:rsidRPr="002F4A38" w:rsidRDefault="003C1D0C">
      <w:pPr>
        <w:pStyle w:val="afb"/>
        <w:ind w:left="708"/>
        <w:jc w:val="center"/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</w:pPr>
      <w:r w:rsidRPr="002F4A38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КЭ = 1 + </w:t>
      </w:r>
      <w:proofErr w:type="spellStart"/>
      <w:r w:rsidRPr="002F4A38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К</w:t>
      </w:r>
      <w:r w:rsidRPr="002F4A38"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извл</w:t>
      </w:r>
      <w:proofErr w:type="spellEnd"/>
      <w:r w:rsidRPr="002F4A38"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.</w:t>
      </w:r>
      <w:r w:rsidRPr="002F4A38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 + </w:t>
      </w:r>
      <w:proofErr w:type="spellStart"/>
      <w:r w:rsidRPr="002F4A38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К</w:t>
      </w:r>
      <w:r w:rsidRPr="002F4A38"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техн</w:t>
      </w:r>
      <w:proofErr w:type="spellEnd"/>
      <w:r w:rsidRPr="002F4A38"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.</w:t>
      </w:r>
      <w:r w:rsidRPr="002F4A38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 + </w:t>
      </w:r>
      <w:proofErr w:type="spellStart"/>
      <w:r w:rsidRPr="002F4A38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К</w:t>
      </w:r>
      <w:r w:rsidRPr="002F4A38"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цикл</w:t>
      </w:r>
      <w:proofErr w:type="spellEnd"/>
      <w:r w:rsidRPr="002F4A38"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.</w:t>
      </w:r>
      <w:r w:rsidRPr="002F4A38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 + </w:t>
      </w:r>
      <w:proofErr w:type="spellStart"/>
      <w:r w:rsidRPr="002F4A38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К</w:t>
      </w:r>
      <w:r w:rsidRPr="002F4A38"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потр</w:t>
      </w:r>
      <w:proofErr w:type="spellEnd"/>
      <w:r w:rsidRPr="002F4A38"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.</w:t>
      </w:r>
      <w:r w:rsidRPr="002F4A38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 + </w:t>
      </w:r>
      <w:proofErr w:type="spellStart"/>
      <w:r w:rsidRPr="002F4A38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К</w:t>
      </w:r>
      <w:r w:rsidRPr="002F4A38"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комб</w:t>
      </w:r>
      <w:proofErr w:type="spellEnd"/>
    </w:p>
    <w:p w14:paraId="6F670144" w14:textId="77777777" w:rsidR="00547497" w:rsidRPr="002F4A38" w:rsidRDefault="003C1D0C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где: </w:t>
      </w:r>
    </w:p>
    <w:p w14:paraId="5DA871BB" w14:textId="300004FA" w:rsidR="00547497" w:rsidRPr="002F4A38" w:rsidRDefault="003C1D0C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извл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–</w:t>
      </w:r>
      <w:r w:rsidR="006B0008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критерий сложности извлечения ОИТ, обозначающий экономически обоснованное (необоснованное) извлечение ОИТ</w:t>
      </w:r>
      <w:r w:rsidR="006B0008" w:rsidRPr="002F4A38">
        <w:rPr>
          <w:rStyle w:val="aff2"/>
          <w:rFonts w:eastAsia="Calibri"/>
          <w:color w:val="auto"/>
          <w:szCs w:val="28"/>
          <w:shd w:val="clear" w:color="auto" w:fill="FFFFFF"/>
          <w:lang w:eastAsia="en-US"/>
        </w:rPr>
        <w:footnoteReference w:id="11"/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:</w:t>
      </w:r>
    </w:p>
    <w:p w14:paraId="221FFFA8" w14:textId="77777777" w:rsidR="00547497" w:rsidRPr="002F4A38" w:rsidRDefault="003C1D0C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извл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= 1 – извлечение ОИТ из общего потока отходов в процессе обработки представляется экономически необоснованным;</w:t>
      </w:r>
    </w:p>
    <w:p w14:paraId="409F9903" w14:textId="1F816465" w:rsidR="00547497" w:rsidRPr="002F4A38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извл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= 0 – возможно экономически обоснованное извлечени</w:t>
      </w:r>
      <w:r w:rsidR="006B0008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е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ОИТ из общего потока отходов в процессе обработки.</w:t>
      </w:r>
    </w:p>
    <w:p w14:paraId="45BDDEC8" w14:textId="77777777" w:rsidR="00547497" w:rsidRPr="002F4A38" w:rsidRDefault="00547497">
      <w:pPr>
        <w:rPr>
          <w:rFonts w:eastAsia="Calibri"/>
          <w:color w:val="auto"/>
          <w:sz w:val="14"/>
          <w:szCs w:val="14"/>
          <w:shd w:val="clear" w:color="auto" w:fill="FFFFFF"/>
          <w:lang w:eastAsia="en-US"/>
        </w:rPr>
      </w:pPr>
    </w:p>
    <w:p w14:paraId="20187E91" w14:textId="77777777" w:rsidR="006B0008" w:rsidRPr="002F4A38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техн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– критерий </w:t>
      </w: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перерабатываемости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, обозначающий </w:t>
      </w:r>
      <w:r w:rsidR="006B0008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достаточность (недостаточность) на территории Российской Федерации количества мощностей по утилизации ОИТ в соответствии с федеральным проектом «Экономика замкнутого цикла»:</w:t>
      </w:r>
    </w:p>
    <w:p w14:paraId="60096CBB" w14:textId="77777777" w:rsidR="006B0008" w:rsidRPr="002F4A38" w:rsidRDefault="003C1D0C" w:rsidP="006B0008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техн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= 1 – </w:t>
      </w:r>
      <w:r w:rsidR="006B0008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количество мощностей по утилизации ОИТ не соответствуют федеральному проекту «Экономика замкнутого цикла»;</w:t>
      </w:r>
    </w:p>
    <w:p w14:paraId="649D2E81" w14:textId="52F6070E" w:rsidR="00547497" w:rsidRPr="002F4A38" w:rsidRDefault="003C1D0C" w:rsidP="006B0008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;</w:t>
      </w:r>
    </w:p>
    <w:p w14:paraId="7D0DEC44" w14:textId="77777777" w:rsidR="006B0008" w:rsidRPr="002F4A38" w:rsidRDefault="003C1D0C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техн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= 0 – </w:t>
      </w:r>
      <w:r w:rsidR="006B0008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на территории Российской Федерации созданы мощности по утилизации ОИТ в соответствии с федеральным проектом «Экономика замкнутого цикла».</w:t>
      </w:r>
    </w:p>
    <w:p w14:paraId="6FA9C93B" w14:textId="77777777" w:rsidR="00547497" w:rsidRPr="002F4A38" w:rsidRDefault="00547497" w:rsidP="006B0008">
      <w:pPr>
        <w:ind w:firstLine="708"/>
        <w:rPr>
          <w:rFonts w:eastAsia="Calibri"/>
          <w:color w:val="auto"/>
          <w:sz w:val="14"/>
          <w:szCs w:val="14"/>
          <w:shd w:val="clear" w:color="auto" w:fill="FFFFFF"/>
          <w:lang w:eastAsia="en-US"/>
        </w:rPr>
      </w:pPr>
    </w:p>
    <w:p w14:paraId="5F99D777" w14:textId="77777777" w:rsidR="00547497" w:rsidRPr="002F4A38" w:rsidRDefault="003C1D0C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цикл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– критерий, характеризующий количество циклов переработки </w:t>
      </w:r>
      <w:bookmarkStart w:id="11" w:name="_Hlk87613893"/>
      <w:bookmarkStart w:id="12" w:name="_Hlk87613941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материал</w:t>
      </w:r>
      <w:bookmarkEnd w:id="11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а</w:t>
      </w:r>
      <w:bookmarkStart w:id="13" w:name="_GoBack"/>
      <w:bookmarkEnd w:id="12"/>
      <w:bookmarkEnd w:id="13"/>
      <w:r w:rsidRPr="002F4A38">
        <w:t xml:space="preserve"> </w:t>
      </w:r>
      <w:r w:rsidR="006B0008" w:rsidRPr="002F4A38">
        <w:t xml:space="preserve">товара и (или) упаковки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для получения продукта (изделия), назначение которого аналогично продукту, полученному из первичного сырья:</w:t>
      </w:r>
    </w:p>
    <w:p w14:paraId="2BEBD3F6" w14:textId="77777777" w:rsidR="00547497" w:rsidRPr="002F4A38" w:rsidRDefault="003C1D0C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цикл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= 1 – не более 5 циклов переработки материала;</w:t>
      </w:r>
    </w:p>
    <w:p w14:paraId="112F5525" w14:textId="77777777" w:rsidR="00547497" w:rsidRPr="002F4A38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цикл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= 0 – более 5 циклов переработки материала.</w:t>
      </w:r>
      <w:bookmarkStart w:id="14" w:name="_Hlk74238402"/>
    </w:p>
    <w:p w14:paraId="5FE21893" w14:textId="77777777" w:rsidR="00547497" w:rsidRPr="002F4A38" w:rsidRDefault="00547497">
      <w:pPr>
        <w:rPr>
          <w:rFonts w:eastAsia="Calibri"/>
          <w:color w:val="auto"/>
          <w:sz w:val="14"/>
          <w:szCs w:val="14"/>
          <w:shd w:val="clear" w:color="auto" w:fill="FFFFFF"/>
          <w:lang w:eastAsia="en-US"/>
        </w:rPr>
      </w:pPr>
    </w:p>
    <w:p w14:paraId="7FD598B7" w14:textId="77777777" w:rsidR="00547497" w:rsidRPr="002F4A38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потр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.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критерий, характеризующий </w:t>
      </w:r>
      <w:r w:rsidR="00E32783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наличие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потребности во вторичном сырье, получаемом в результате утилизации ОИТ</w:t>
      </w:r>
      <w:r w:rsidR="006B0008" w:rsidRPr="002F4A38">
        <w:rPr>
          <w:rStyle w:val="aff2"/>
          <w:rFonts w:eastAsia="Calibri"/>
          <w:color w:val="auto"/>
          <w:szCs w:val="28"/>
          <w:shd w:val="clear" w:color="auto" w:fill="FFFFFF"/>
          <w:lang w:eastAsia="en-US"/>
        </w:rPr>
        <w:footnoteReference w:id="12"/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:</w:t>
      </w:r>
    </w:p>
    <w:p w14:paraId="4050921A" w14:textId="77777777" w:rsidR="006B0008" w:rsidRPr="002F4A38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потр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.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= 1 – </w:t>
      </w:r>
      <w:bookmarkStart w:id="15" w:name="_Hlk85184054"/>
      <w:r w:rsidR="006B0008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не подтверждается фактическая реализация вторичного сырья, полученного в результате утилизации ОИТ, индивидуальными предпринимателями и юридическими лицами, осуществляющими утилизацию ОИТ;</w:t>
      </w:r>
    </w:p>
    <w:bookmarkEnd w:id="15"/>
    <w:p w14:paraId="54185843" w14:textId="77777777" w:rsidR="007B452A" w:rsidRPr="002F4A38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потр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.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= 0 – </w:t>
      </w:r>
      <w:r w:rsidR="007B452A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подтверждается фактическая реализация вторичного сырья, полученного в результате утилизации ОИТ, индивидуальными предпринимателями и юридическими лицами, осуществляющими утилизацию ОИТ;</w:t>
      </w:r>
    </w:p>
    <w:bookmarkEnd w:id="14"/>
    <w:p w14:paraId="44FEE2C6" w14:textId="3B505470" w:rsidR="00547497" w:rsidRPr="002F4A38" w:rsidRDefault="00547497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</w:p>
    <w:p w14:paraId="014E9702" w14:textId="77777777" w:rsidR="00547497" w:rsidRPr="002F4A38" w:rsidRDefault="00547497">
      <w:pPr>
        <w:ind w:firstLine="708"/>
        <w:rPr>
          <w:rFonts w:eastAsia="Calibri"/>
          <w:color w:val="auto"/>
          <w:sz w:val="14"/>
          <w:szCs w:val="14"/>
          <w:shd w:val="clear" w:color="auto" w:fill="FFFFFF"/>
          <w:lang w:eastAsia="en-US"/>
        </w:rPr>
      </w:pPr>
    </w:p>
    <w:p w14:paraId="3F03C95F" w14:textId="77777777" w:rsidR="00547497" w:rsidRPr="002F4A38" w:rsidRDefault="003C1D0C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lastRenderedPageBreak/>
        <w:t>К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комб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– критерий, применяемый в отношении комбинированных материалов упаковки:</w:t>
      </w:r>
    </w:p>
    <w:p w14:paraId="0F510A59" w14:textId="77777777" w:rsidR="00547497" w:rsidRPr="002F4A38" w:rsidRDefault="003C1D0C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комб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= 1 – применяется для материалов, имеющих цифровые коды </w:t>
      </w:r>
      <w:r w:rsidR="00102D17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и буквенные обозначения (аббревиатура)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материала, из которого изготавливается упаковка, №№ 86 - 99 в</w:t>
      </w:r>
      <w:r w:rsidR="00E32783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соответствии с Приложением № 3 </w:t>
      </w:r>
      <w:r w:rsidR="00E32783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к т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ехническо</w:t>
      </w:r>
      <w:r w:rsidR="00E32783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му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регламент</w:t>
      </w:r>
      <w:r w:rsidR="00E32783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у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Таможенного союза </w:t>
      </w:r>
      <w:r w:rsidR="002D476C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«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О безопасности упаковки</w:t>
      </w:r>
      <w:r w:rsidR="002D476C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»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(ТР ТС 005/2011);</w:t>
      </w:r>
    </w:p>
    <w:p w14:paraId="3306A630" w14:textId="77777777" w:rsidR="00547497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комб</w:t>
      </w:r>
      <w:proofErr w:type="spellEnd"/>
      <w:r w:rsidRPr="002F4A38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= 0 – применяется для материалов, имеющих цифровые коды</w:t>
      </w:r>
      <w:r w:rsidR="00102D17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и буквенные обозначения (аббревиатура)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материала, из которого изготавливается упаковка, №№ 01 – 85 в</w:t>
      </w:r>
      <w:r w:rsidR="00E32783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соответствии с Приложением № 3 </w:t>
      </w:r>
      <w:r w:rsidR="00E32783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к т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ехническо</w:t>
      </w:r>
      <w:r w:rsidR="00E32783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му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регламент</w:t>
      </w:r>
      <w:r w:rsidR="00E32783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у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Таможенного союза</w:t>
      </w:r>
      <w:r w:rsidR="00102D17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«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О безопасности упаковки</w:t>
      </w:r>
      <w:r w:rsidR="00102D17" w:rsidRPr="002F4A38">
        <w:rPr>
          <w:rFonts w:eastAsia="Calibri"/>
          <w:color w:val="auto"/>
          <w:szCs w:val="28"/>
          <w:shd w:val="clear" w:color="auto" w:fill="FFFFFF"/>
          <w:lang w:eastAsia="en-US"/>
        </w:rPr>
        <w:t>»</w:t>
      </w:r>
      <w:r w:rsidRPr="002F4A3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(ТР ТС 005/2011).</w:t>
      </w:r>
    </w:p>
    <w:p w14:paraId="21225F93" w14:textId="77777777" w:rsidR="00547497" w:rsidRPr="00102D17" w:rsidRDefault="00547497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</w:p>
    <w:sectPr w:rsidR="00547497" w:rsidRPr="00102D17">
      <w:headerReference w:type="default" r:id="rId11"/>
      <w:headerReference w:type="first" r:id="rId12"/>
      <w:pgSz w:w="11906" w:h="16838"/>
      <w:pgMar w:top="1418" w:right="1276" w:bottom="1134" w:left="1559" w:header="709" w:footer="709" w:gutter="0"/>
      <w:pgNumType w:start="1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0743FA" w15:done="0"/>
  <w15:commentEx w15:paraId="7FC7A3FC" w15:paraIdParent="260743FA" w15:done="0"/>
  <w15:commentEx w15:paraId="58FBB0FF" w15:done="0"/>
  <w15:commentEx w15:paraId="11E65F7C" w15:paraIdParent="58FBB0FF" w15:done="0"/>
  <w15:commentEx w15:paraId="4DE9CA40" w15:done="0"/>
  <w15:commentEx w15:paraId="1D00C78D" w15:paraIdParent="4DE9CA40" w15:done="0"/>
  <w15:commentEx w15:paraId="41F43EF2" w15:done="0"/>
  <w15:commentEx w15:paraId="521F91C5" w15:paraIdParent="41F43EF2" w15:done="0"/>
  <w15:commentEx w15:paraId="202813D3" w15:done="0"/>
  <w15:commentEx w15:paraId="3C8D56A6" w15:paraIdParent="202813D3" w15:done="0"/>
  <w15:commentEx w15:paraId="20E1BDB5" w15:done="0"/>
  <w15:commentEx w15:paraId="0F379123" w15:paraIdParent="20E1BDB5" w15:done="0"/>
  <w15:commentEx w15:paraId="3C1D2953" w15:done="0"/>
  <w15:commentEx w15:paraId="05823687" w15:done="0"/>
  <w15:commentEx w15:paraId="6F728519" w15:paraIdParent="05823687" w15:done="0"/>
  <w15:commentEx w15:paraId="176908CB" w15:done="0"/>
  <w15:commentEx w15:paraId="33831F33" w15:done="0"/>
  <w15:commentEx w15:paraId="4850BDFF" w15:done="0"/>
  <w15:commentEx w15:paraId="300D1E1C" w15:paraIdParent="4850BDFF" w15:done="0"/>
  <w15:commentEx w15:paraId="0248ED5F" w15:done="0"/>
  <w15:commentEx w15:paraId="42C6F6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0743FA" w16cid:durableId="28734F14"/>
  <w16cid:commentId w16cid:paraId="7FC7A3FC" w16cid:durableId="28735248"/>
  <w16cid:commentId w16cid:paraId="58FBB0FF" w16cid:durableId="28734F15"/>
  <w16cid:commentId w16cid:paraId="11E65F7C" w16cid:durableId="2873548D"/>
  <w16cid:commentId w16cid:paraId="4DE9CA40" w16cid:durableId="28734F16"/>
  <w16cid:commentId w16cid:paraId="1D00C78D" w16cid:durableId="28735444"/>
  <w16cid:commentId w16cid:paraId="41F43EF2" w16cid:durableId="28734F17"/>
  <w16cid:commentId w16cid:paraId="521F91C5" w16cid:durableId="287354AE"/>
  <w16cid:commentId w16cid:paraId="202813D3" w16cid:durableId="28734F18"/>
  <w16cid:commentId w16cid:paraId="3C8D56A6" w16cid:durableId="28735402"/>
  <w16cid:commentId w16cid:paraId="20E1BDB5" w16cid:durableId="28734F19"/>
  <w16cid:commentId w16cid:paraId="0F379123" w16cid:durableId="287354C4"/>
  <w16cid:commentId w16cid:paraId="3C1D2953" w16cid:durableId="28734F1A"/>
  <w16cid:commentId w16cid:paraId="05823687" w16cid:durableId="28734F1B"/>
  <w16cid:commentId w16cid:paraId="6F728519" w16cid:durableId="28735372"/>
  <w16cid:commentId w16cid:paraId="176908CB" w16cid:durableId="28734F1C"/>
  <w16cid:commentId w16cid:paraId="33831F33" w16cid:durableId="28734F1D"/>
  <w16cid:commentId w16cid:paraId="4850BDFF" w16cid:durableId="28734F1E"/>
  <w16cid:commentId w16cid:paraId="300D1E1C" w16cid:durableId="28736480"/>
  <w16cid:commentId w16cid:paraId="0248ED5F" w16cid:durableId="28734F1F"/>
  <w16cid:commentId w16cid:paraId="42C6F6C8" w16cid:durableId="28734F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159B4" w14:textId="77777777" w:rsidR="00804403" w:rsidRDefault="00804403">
      <w:r>
        <w:separator/>
      </w:r>
    </w:p>
  </w:endnote>
  <w:endnote w:type="continuationSeparator" w:id="0">
    <w:p w14:paraId="1CE8AA62" w14:textId="77777777" w:rsidR="00804403" w:rsidRDefault="0080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9F817" w14:textId="77777777" w:rsidR="00804403" w:rsidRDefault="00804403">
      <w:r>
        <w:separator/>
      </w:r>
    </w:p>
  </w:footnote>
  <w:footnote w:type="continuationSeparator" w:id="0">
    <w:p w14:paraId="0354FE05" w14:textId="77777777" w:rsidR="00804403" w:rsidRDefault="00804403">
      <w:r>
        <w:continuationSeparator/>
      </w:r>
    </w:p>
  </w:footnote>
  <w:footnote w:id="1">
    <w:p w14:paraId="6BD5E1E1" w14:textId="77777777" w:rsidR="00547497" w:rsidRDefault="003C1D0C">
      <w:pPr>
        <w:pStyle w:val="aff0"/>
        <w:ind w:firstLine="0"/>
      </w:pPr>
      <w:r>
        <w:rPr>
          <w:rStyle w:val="aff2"/>
        </w:rPr>
        <w:footnoteRef/>
      </w:r>
      <w:r>
        <w:t xml:space="preserve"> Удельные затраты на приобретение контейнера определяются путем сопоставления рыночных цен (анализа рынка) на основании информации об идентичном товаре или при его отсутствии однородном товаре.</w:t>
      </w:r>
    </w:p>
  </w:footnote>
  <w:footnote w:id="2">
    <w:p w14:paraId="07476C54" w14:textId="77777777" w:rsidR="00547497" w:rsidRDefault="003C1D0C">
      <w:pPr>
        <w:pStyle w:val="aff0"/>
        <w:ind w:firstLine="0"/>
      </w:pPr>
      <w:r>
        <w:rPr>
          <w:rStyle w:val="aff2"/>
        </w:rPr>
        <w:footnoteRef/>
      </w:r>
      <w:r>
        <w:t xml:space="preserve"> Удельные годовые расходы на техническое содержание контейнеров </w:t>
      </w:r>
      <w:bookmarkStart w:id="6" w:name="_Hlk79049397"/>
      <w:r>
        <w:t xml:space="preserve">определяются </w:t>
      </w:r>
      <w:bookmarkEnd w:id="6"/>
      <w:r>
        <w:t>на основании исследования по вопросу формирования ставок экологического сбора и составляет 2% от стоимости контейнера.</w:t>
      </w:r>
    </w:p>
  </w:footnote>
  <w:footnote w:id="3">
    <w:p w14:paraId="5A138218" w14:textId="77777777" w:rsidR="00547497" w:rsidRDefault="003C1D0C">
      <w:pPr>
        <w:pStyle w:val="aff0"/>
        <w:ind w:firstLine="0"/>
      </w:pPr>
      <w:r>
        <w:rPr>
          <w:rStyle w:val="aff2"/>
        </w:rPr>
        <w:footnoteRef/>
      </w:r>
      <w:r>
        <w:t xml:space="preserve"> Периодичность вывоза ОИТ составляет не реже одного раза в семь дней.</w:t>
      </w:r>
    </w:p>
  </w:footnote>
  <w:footnote w:id="4">
    <w:p w14:paraId="3972B9AC" w14:textId="77777777" w:rsidR="00547497" w:rsidRDefault="003C1D0C">
      <w:pPr>
        <w:pStyle w:val="aff0"/>
        <w:ind w:firstLine="0"/>
      </w:pPr>
      <w:r>
        <w:rPr>
          <w:rStyle w:val="aff2"/>
        </w:rPr>
        <w:footnoteRef/>
      </w:r>
      <w:r>
        <w:t xml:space="preserve"> Средняя вместимость контейнера для различных компонентов определяется</w:t>
      </w:r>
      <w:r w:rsidR="009D35E0" w:rsidRPr="009D35E0">
        <w:t xml:space="preserve"> на основании данных о плотности отдельных видов отходов</w:t>
      </w:r>
      <w:r w:rsidR="009D35E0">
        <w:t xml:space="preserve"> и</w:t>
      </w:r>
      <w:r>
        <w:t xml:space="preserve"> путем проведения замеров массы ОИТ на объектах обработки отходов и сопоставления полученных результатов не менее чем трех объектов обработки отходов.</w:t>
      </w:r>
    </w:p>
  </w:footnote>
  <w:footnote w:id="5">
    <w:p w14:paraId="0149C4FE" w14:textId="77777777" w:rsidR="00547497" w:rsidRDefault="003C1D0C">
      <w:pPr>
        <w:pStyle w:val="TableFootnotelast1"/>
        <w:jc w:val="both"/>
        <w:rPr>
          <w:rFonts w:ascii="Times New Roman" w:hAnsi="Times New Roman"/>
        </w:rPr>
      </w:pPr>
      <w:r>
        <w:rPr>
          <w:rStyle w:val="aff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Общий проектный срок эксплуатации </w:t>
      </w:r>
      <w:r w:rsidR="00DA4F79">
        <w:rPr>
          <w:rFonts w:ascii="Times New Roman" w:hAnsi="Times New Roman"/>
        </w:rPr>
        <w:t xml:space="preserve">контейнера для накопления ОИТ </w:t>
      </w:r>
      <w:r>
        <w:rPr>
          <w:rFonts w:ascii="Times New Roman" w:hAnsi="Times New Roman"/>
        </w:rPr>
        <w:t>определяется исходя из технической документации, определяющей эксплуатационные характеристики.</w:t>
      </w:r>
    </w:p>
  </w:footnote>
  <w:footnote w:id="6">
    <w:p w14:paraId="0616FF05" w14:textId="77777777" w:rsidR="009D35E0" w:rsidRDefault="009D35E0" w:rsidP="009D35E0">
      <w:pPr>
        <w:pStyle w:val="aff0"/>
        <w:ind w:firstLine="0"/>
      </w:pPr>
      <w:r>
        <w:rPr>
          <w:rStyle w:val="aff2"/>
        </w:rPr>
        <w:footnoteRef/>
      </w:r>
      <w:r>
        <w:t xml:space="preserve"> </w:t>
      </w:r>
      <w:r w:rsidRPr="009D35E0">
        <w:t>Ежегодные удельные затраты на транспортирование ОИТ определяются исходя из данных Единой информационно-аналитической системы «Федеральный орган регулирования – региональные органы регулирования – субъекты регулирования» аналогично расходам на транспортирование твердых коммунальных отходов, включенных в тариф регионального оператора по обращению с твердыми коммунальными отходами и массе транспортируемых твердых коммунальных отходов.</w:t>
      </w:r>
    </w:p>
  </w:footnote>
  <w:footnote w:id="7">
    <w:p w14:paraId="3B4225E1" w14:textId="77777777" w:rsidR="00201F05" w:rsidRDefault="00201F05" w:rsidP="00201F05">
      <w:pPr>
        <w:pStyle w:val="aff0"/>
        <w:ind w:firstLine="0"/>
      </w:pPr>
      <w:r>
        <w:rPr>
          <w:rStyle w:val="aff2"/>
        </w:rPr>
        <w:footnoteRef/>
      </w:r>
      <w:r>
        <w:t xml:space="preserve"> Удельные операционные затраты объектов утилизации определяются путем сопоставления рыночных цен (анализа рынка) на основании информации об идентичных товарах, работах или при их отсутствии однородных товарах, работах, а также на основании данных о расходах на оплату труда и приобретаемые энергетические ресурсы, содержащиеся в официальной статистической информации, предоставляемой Федеральной службой государственной статистики.</w:t>
      </w:r>
    </w:p>
  </w:footnote>
  <w:footnote w:id="8">
    <w:p w14:paraId="73B3FD83" w14:textId="77777777" w:rsidR="00201F05" w:rsidRDefault="00201F05" w:rsidP="00201F05">
      <w:pPr>
        <w:pStyle w:val="aff0"/>
        <w:ind w:firstLine="0"/>
      </w:pPr>
      <w:r>
        <w:rPr>
          <w:rStyle w:val="aff2"/>
        </w:rPr>
        <w:footnoteRef/>
      </w:r>
      <w:r>
        <w:t xml:space="preserve"> </w:t>
      </w:r>
      <w:r w:rsidRPr="00783D21">
        <w:t>Общая стоимость объекта определяется исходя из суммы затрат на капитальное строительство на основании укрупненных нормативов цены строительства, разрабатываемых и применяемых в соответствии с Градостроительным кодексом Российской Федерации, а также стоимости технологического оборудования, определяемой путем сопоставления рыночных цен (анализа рынка) на основании информации об идентичном товаре или при его отсутствии однородном товаре.</w:t>
      </w:r>
    </w:p>
  </w:footnote>
  <w:footnote w:id="9">
    <w:p w14:paraId="5B118432" w14:textId="77777777" w:rsidR="00201F05" w:rsidRDefault="00201F05" w:rsidP="00201F05">
      <w:pPr>
        <w:pStyle w:val="aff0"/>
        <w:ind w:firstLine="0"/>
      </w:pPr>
      <w:r>
        <w:rPr>
          <w:rStyle w:val="aff2"/>
        </w:rPr>
        <w:footnoteRef/>
      </w:r>
      <w:r>
        <w:t xml:space="preserve"> Общий проектный срок эксплуатации объекта определяется для объектов капитального строительства исходя из данных Классификации основных средств, включаемых в амортизационные группы, утвержденной постановлением Правительства Российской Федерации от 1 января 2002 г. № 1, для технологического оборудования по утилизации ОИТ исходя из данных Классификации основных средств, включаемых в амортизационные группы, технической документации и информации об идентичном товаре или при его отсутствии однородном товаре.</w:t>
      </w:r>
    </w:p>
  </w:footnote>
  <w:footnote w:id="10">
    <w:p w14:paraId="4A096AE0" w14:textId="77777777" w:rsidR="00201F05" w:rsidRDefault="00201F05" w:rsidP="00201F05">
      <w:pPr>
        <w:pStyle w:val="aff0"/>
        <w:ind w:firstLine="0"/>
      </w:pPr>
      <w:r>
        <w:rPr>
          <w:rStyle w:val="aff2"/>
        </w:rPr>
        <w:footnoteRef/>
      </w:r>
      <w:r>
        <w:t xml:space="preserve"> Проектная мощность объекта определяется исходя из технической документации, определяющей эксплуатационные характеристики технологического оборудования по утилизации ОИТ на основании информации об идентичном товаре или при его отсутствии однородном товаре.</w:t>
      </w:r>
    </w:p>
  </w:footnote>
  <w:footnote w:id="11">
    <w:p w14:paraId="6655DEC0" w14:textId="77777777" w:rsidR="006B0008" w:rsidRDefault="006B0008" w:rsidP="006B0008">
      <w:pPr>
        <w:pStyle w:val="aff0"/>
        <w:ind w:firstLine="0"/>
      </w:pPr>
      <w:r>
        <w:rPr>
          <w:rStyle w:val="aff2"/>
        </w:rPr>
        <w:footnoteRef/>
      </w:r>
      <w:r>
        <w:t xml:space="preserve"> </w:t>
      </w:r>
      <w:r w:rsidRPr="006B0008">
        <w:t>Критерий определяется на основании результатов опроса юридических лиц, индивидуальных предпринимателей, осуществляющих обработку отходов.</w:t>
      </w:r>
    </w:p>
  </w:footnote>
  <w:footnote w:id="12">
    <w:p w14:paraId="074F619E" w14:textId="77777777" w:rsidR="006B0008" w:rsidRDefault="006B0008" w:rsidP="006B0008">
      <w:pPr>
        <w:pStyle w:val="aff0"/>
        <w:ind w:firstLine="0"/>
      </w:pPr>
      <w:r>
        <w:rPr>
          <w:rStyle w:val="aff2"/>
        </w:rPr>
        <w:footnoteRef/>
      </w:r>
      <w:r>
        <w:t xml:space="preserve"> </w:t>
      </w:r>
      <w:r w:rsidRPr="006B0008">
        <w:t>Критерий определяется на основании результатов опроса юридических лиц, индивидуальных предпринимателей, осуществляющих деятельность по утилизации ОИТ.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4674C" w14:textId="77777777" w:rsidR="00547497" w:rsidRDefault="003C1D0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>2</w:t>
    </w:r>
    <w:r>
      <w:fldChar w:fldCharType="end"/>
    </w:r>
  </w:p>
  <w:p w14:paraId="566BA30D" w14:textId="77777777" w:rsidR="00547497" w:rsidRDefault="00547497">
    <w:pPr>
      <w:pStyle w:val="af2"/>
      <w:ind w:firstLine="0"/>
      <w:jc w:val="center"/>
    </w:pPr>
  </w:p>
  <w:p w14:paraId="7A5B1EC2" w14:textId="77777777" w:rsidR="00547497" w:rsidRDefault="0054749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3CF52" w14:textId="77777777" w:rsidR="00547497" w:rsidRDefault="00547497">
    <w:pPr>
      <w:pStyle w:val="af2"/>
      <w:ind w:firstLine="0"/>
      <w:jc w:val="center"/>
    </w:pPr>
  </w:p>
  <w:p w14:paraId="31A566E4" w14:textId="77777777" w:rsidR="00547497" w:rsidRDefault="00547497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9308F" w14:textId="77777777" w:rsidR="00547497" w:rsidRDefault="003C1D0C">
    <w:pPr>
      <w:framePr w:wrap="around" w:vAnchor="text" w:hAnchor="margin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2F4A38">
      <w:rPr>
        <w:noProof/>
        <w:sz w:val="24"/>
      </w:rPr>
      <w:t>6</w:t>
    </w:r>
    <w:r>
      <w:rPr>
        <w:sz w:val="24"/>
      </w:rPr>
      <w:fldChar w:fldCharType="end"/>
    </w:r>
  </w:p>
  <w:p w14:paraId="3878B0BF" w14:textId="77777777" w:rsidR="00547497" w:rsidRDefault="00547497">
    <w:pPr>
      <w:pStyle w:val="af2"/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81AC0" w14:textId="77777777" w:rsidR="00547497" w:rsidRDefault="0054749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E2AA4"/>
    <w:multiLevelType w:val="hybridMultilevel"/>
    <w:tmpl w:val="29BC669C"/>
    <w:lvl w:ilvl="0" w:tplc="02EA32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ABFED550">
      <w:start w:val="1"/>
      <w:numFmt w:val="lowerLetter"/>
      <w:lvlText w:val="%2."/>
      <w:lvlJc w:val="left"/>
      <w:pPr>
        <w:ind w:left="2073" w:hanging="360"/>
      </w:pPr>
    </w:lvl>
    <w:lvl w:ilvl="2" w:tplc="1FCE8F6C">
      <w:start w:val="1"/>
      <w:numFmt w:val="lowerRoman"/>
      <w:lvlText w:val="%3."/>
      <w:lvlJc w:val="right"/>
      <w:pPr>
        <w:ind w:left="2793" w:hanging="180"/>
      </w:pPr>
    </w:lvl>
    <w:lvl w:ilvl="3" w:tplc="A8D69F1A">
      <w:start w:val="1"/>
      <w:numFmt w:val="decimal"/>
      <w:lvlText w:val="%4."/>
      <w:lvlJc w:val="left"/>
      <w:pPr>
        <w:ind w:left="3513" w:hanging="360"/>
      </w:pPr>
    </w:lvl>
    <w:lvl w:ilvl="4" w:tplc="2F08A87C">
      <w:start w:val="1"/>
      <w:numFmt w:val="lowerLetter"/>
      <w:lvlText w:val="%5."/>
      <w:lvlJc w:val="left"/>
      <w:pPr>
        <w:ind w:left="4233" w:hanging="360"/>
      </w:pPr>
    </w:lvl>
    <w:lvl w:ilvl="5" w:tplc="22707E36">
      <w:start w:val="1"/>
      <w:numFmt w:val="lowerRoman"/>
      <w:lvlText w:val="%6."/>
      <w:lvlJc w:val="right"/>
      <w:pPr>
        <w:ind w:left="4953" w:hanging="180"/>
      </w:pPr>
    </w:lvl>
    <w:lvl w:ilvl="6" w:tplc="61EE5DAE">
      <w:start w:val="1"/>
      <w:numFmt w:val="decimal"/>
      <w:lvlText w:val="%7."/>
      <w:lvlJc w:val="left"/>
      <w:pPr>
        <w:ind w:left="5673" w:hanging="360"/>
      </w:pPr>
    </w:lvl>
    <w:lvl w:ilvl="7" w:tplc="7A5CB39C">
      <w:start w:val="1"/>
      <w:numFmt w:val="lowerLetter"/>
      <w:lvlText w:val="%8."/>
      <w:lvlJc w:val="left"/>
      <w:pPr>
        <w:ind w:left="6393" w:hanging="360"/>
      </w:pPr>
    </w:lvl>
    <w:lvl w:ilvl="8" w:tplc="0EFC1E9A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25F6F8A"/>
    <w:multiLevelType w:val="hybridMultilevel"/>
    <w:tmpl w:val="AD08C084"/>
    <w:lvl w:ilvl="0" w:tplc="092C56A8">
      <w:start w:val="1"/>
      <w:numFmt w:val="decimal"/>
      <w:lvlText w:val="%1."/>
      <w:lvlJc w:val="left"/>
      <w:pPr>
        <w:ind w:left="7665" w:hanging="435"/>
      </w:pPr>
      <w:rPr>
        <w:rFonts w:hint="default"/>
      </w:rPr>
    </w:lvl>
    <w:lvl w:ilvl="1" w:tplc="02C8EB42">
      <w:start w:val="1"/>
      <w:numFmt w:val="lowerLetter"/>
      <w:lvlText w:val="%2."/>
      <w:lvlJc w:val="left"/>
      <w:pPr>
        <w:ind w:left="2498" w:hanging="360"/>
      </w:pPr>
    </w:lvl>
    <w:lvl w:ilvl="2" w:tplc="FCB8E18E">
      <w:start w:val="1"/>
      <w:numFmt w:val="lowerRoman"/>
      <w:lvlText w:val="%3."/>
      <w:lvlJc w:val="right"/>
      <w:pPr>
        <w:ind w:left="3218" w:hanging="180"/>
      </w:pPr>
    </w:lvl>
    <w:lvl w:ilvl="3" w:tplc="B554F84A">
      <w:start w:val="1"/>
      <w:numFmt w:val="decimal"/>
      <w:lvlText w:val="%4."/>
      <w:lvlJc w:val="left"/>
      <w:pPr>
        <w:ind w:left="3938" w:hanging="360"/>
      </w:pPr>
    </w:lvl>
    <w:lvl w:ilvl="4" w:tplc="B4B04CE0">
      <w:start w:val="1"/>
      <w:numFmt w:val="lowerLetter"/>
      <w:lvlText w:val="%5."/>
      <w:lvlJc w:val="left"/>
      <w:pPr>
        <w:ind w:left="4658" w:hanging="360"/>
      </w:pPr>
    </w:lvl>
    <w:lvl w:ilvl="5" w:tplc="9E9A00F0">
      <w:start w:val="1"/>
      <w:numFmt w:val="lowerRoman"/>
      <w:lvlText w:val="%6."/>
      <w:lvlJc w:val="right"/>
      <w:pPr>
        <w:ind w:left="5378" w:hanging="180"/>
      </w:pPr>
    </w:lvl>
    <w:lvl w:ilvl="6" w:tplc="5A364484">
      <w:start w:val="1"/>
      <w:numFmt w:val="decimal"/>
      <w:lvlText w:val="%7."/>
      <w:lvlJc w:val="left"/>
      <w:pPr>
        <w:ind w:left="6098" w:hanging="360"/>
      </w:pPr>
    </w:lvl>
    <w:lvl w:ilvl="7" w:tplc="D5E2FA74">
      <w:start w:val="1"/>
      <w:numFmt w:val="lowerLetter"/>
      <w:lvlText w:val="%8."/>
      <w:lvlJc w:val="left"/>
      <w:pPr>
        <w:ind w:left="6818" w:hanging="360"/>
      </w:pPr>
    </w:lvl>
    <w:lvl w:ilvl="8" w:tplc="C1902B54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Рыжкова Ника Сергеевна">
    <w15:presenceInfo w15:providerId="AD" w15:userId="S-1-5-21-2893370933-3499634251-3698177755-37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97"/>
    <w:rsid w:val="0003576F"/>
    <w:rsid w:val="00102D17"/>
    <w:rsid w:val="00105249"/>
    <w:rsid w:val="001D7796"/>
    <w:rsid w:val="00201F05"/>
    <w:rsid w:val="0028718A"/>
    <w:rsid w:val="002D476C"/>
    <w:rsid w:val="002F4A38"/>
    <w:rsid w:val="00310EA5"/>
    <w:rsid w:val="003C1D0C"/>
    <w:rsid w:val="004633B3"/>
    <w:rsid w:val="0047267C"/>
    <w:rsid w:val="00490729"/>
    <w:rsid w:val="004D68A6"/>
    <w:rsid w:val="004E05E0"/>
    <w:rsid w:val="00547497"/>
    <w:rsid w:val="006B0008"/>
    <w:rsid w:val="007308CA"/>
    <w:rsid w:val="0074203B"/>
    <w:rsid w:val="00764A2F"/>
    <w:rsid w:val="007815BF"/>
    <w:rsid w:val="00783D21"/>
    <w:rsid w:val="007B0E58"/>
    <w:rsid w:val="007B452A"/>
    <w:rsid w:val="007E1458"/>
    <w:rsid w:val="00804403"/>
    <w:rsid w:val="008B3491"/>
    <w:rsid w:val="009A7D31"/>
    <w:rsid w:val="009C6E74"/>
    <w:rsid w:val="009D35E0"/>
    <w:rsid w:val="00AB5740"/>
    <w:rsid w:val="00B71CA9"/>
    <w:rsid w:val="00B73431"/>
    <w:rsid w:val="00C23E06"/>
    <w:rsid w:val="00C61A86"/>
    <w:rsid w:val="00C63688"/>
    <w:rsid w:val="00C64707"/>
    <w:rsid w:val="00DA4F79"/>
    <w:rsid w:val="00DD503A"/>
    <w:rsid w:val="00E32783"/>
    <w:rsid w:val="00E8648C"/>
    <w:rsid w:val="00EB6678"/>
    <w:rsid w:val="00F03FCF"/>
    <w:rsid w:val="00F33937"/>
    <w:rsid w:val="00F83212"/>
    <w:rsid w:val="00F9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7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customStyle="1" w:styleId="12">
    <w:name w:val="Обычный1"/>
  </w:style>
  <w:style w:type="paragraph" w:customStyle="1" w:styleId="ConsPlusNormal">
    <w:name w:val="ConsPlusNormal"/>
    <w:link w:val="ConsPlusNormal0"/>
    <w:pPr>
      <w:widowControl w:val="0"/>
      <w:ind w:firstLine="0"/>
      <w:jc w:val="left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23">
    <w:name w:val="toc 2"/>
    <w:link w:val="24"/>
    <w:uiPriority w:val="39"/>
    <w:pPr>
      <w:ind w:left="200" w:firstLine="0"/>
    </w:pPr>
  </w:style>
  <w:style w:type="character" w:customStyle="1" w:styleId="24">
    <w:name w:val="Оглавление 2 Знак"/>
    <w:link w:val="23"/>
  </w:style>
  <w:style w:type="paragraph" w:styleId="42">
    <w:name w:val="toc 4"/>
    <w:link w:val="43"/>
    <w:uiPriority w:val="39"/>
    <w:pPr>
      <w:ind w:left="600" w:firstLine="0"/>
    </w:pPr>
  </w:style>
  <w:style w:type="character" w:customStyle="1" w:styleId="43">
    <w:name w:val="Оглавление 4 Знак"/>
    <w:link w:val="42"/>
  </w:style>
  <w:style w:type="paragraph" w:styleId="61">
    <w:name w:val="toc 6"/>
    <w:link w:val="62"/>
    <w:uiPriority w:val="39"/>
    <w:pPr>
      <w:ind w:left="1000" w:firstLine="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 w:firstLine="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  <w:ind w:firstLine="0"/>
      <w:jc w:val="left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customStyle="1" w:styleId="empty">
    <w:name w:val="empty"/>
    <w:basedOn w:val="a"/>
    <w:link w:val="empty0"/>
    <w:pPr>
      <w:spacing w:beforeAutospacing="1" w:afterAutospacing="1"/>
      <w:ind w:firstLine="0"/>
      <w:jc w:val="left"/>
    </w:pPr>
    <w:rPr>
      <w:sz w:val="24"/>
    </w:rPr>
  </w:style>
  <w:style w:type="character" w:customStyle="1" w:styleId="empty0">
    <w:name w:val="empty"/>
    <w:basedOn w:val="12"/>
    <w:link w:val="empty"/>
    <w:rPr>
      <w:sz w:val="24"/>
    </w:rPr>
  </w:style>
  <w:style w:type="paragraph" w:customStyle="1" w:styleId="13">
    <w:name w:val="Неразрешенное упоминание1"/>
    <w:basedOn w:val="14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0"/>
    <w:link w:val="13"/>
    <w:rPr>
      <w:color w:val="605E5C"/>
      <w:shd w:val="clear" w:color="auto" w:fill="E1DFDD"/>
    </w:rPr>
  </w:style>
  <w:style w:type="paragraph" w:styleId="32">
    <w:name w:val="toc 3"/>
    <w:link w:val="33"/>
    <w:uiPriority w:val="39"/>
    <w:pPr>
      <w:ind w:left="400" w:firstLine="0"/>
    </w:pPr>
  </w:style>
  <w:style w:type="character" w:customStyle="1" w:styleId="33">
    <w:name w:val="Оглавление 3 Знак"/>
    <w:link w:val="32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2"/>
    <w:link w:val="ac"/>
    <w:rPr>
      <w:rFonts w:ascii="Tahoma" w:hAnsi="Tahoma"/>
      <w:sz w:val="16"/>
    </w:rPr>
  </w:style>
  <w:style w:type="paragraph" w:styleId="ae">
    <w:name w:val="annotation text"/>
    <w:basedOn w:val="a"/>
    <w:link w:val="af"/>
    <w:rPr>
      <w:sz w:val="20"/>
    </w:rPr>
  </w:style>
  <w:style w:type="character" w:customStyle="1" w:styleId="af">
    <w:name w:val="Текст примечания Знак"/>
    <w:basedOn w:val="12"/>
    <w:link w:val="ae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6">
    <w:name w:val="Знак примечания1"/>
    <w:basedOn w:val="14"/>
    <w:link w:val="af0"/>
    <w:rPr>
      <w:sz w:val="16"/>
    </w:rPr>
  </w:style>
  <w:style w:type="character" w:styleId="af0">
    <w:name w:val="annotation reference"/>
    <w:basedOn w:val="a0"/>
    <w:link w:val="16"/>
    <w:rPr>
      <w:sz w:val="16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7">
    <w:name w:val="Гиперссылка1"/>
    <w:basedOn w:val="14"/>
    <w:link w:val="af1"/>
    <w:rPr>
      <w:color w:val="0000FF"/>
      <w:u w:val="single"/>
    </w:rPr>
  </w:style>
  <w:style w:type="character" w:styleId="af1">
    <w:name w:val="Hyperlink"/>
    <w:basedOn w:val="a0"/>
    <w:link w:val="1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8">
    <w:name w:val="toc 1"/>
    <w:link w:val="19"/>
    <w:uiPriority w:val="39"/>
    <w:pPr>
      <w:ind w:firstLine="0"/>
    </w:pPr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s16">
    <w:name w:val="s_16"/>
    <w:basedOn w:val="a"/>
    <w:link w:val="s160"/>
    <w:pPr>
      <w:spacing w:beforeAutospacing="1" w:afterAutospacing="1"/>
      <w:ind w:firstLine="0"/>
      <w:jc w:val="left"/>
    </w:pPr>
    <w:rPr>
      <w:sz w:val="24"/>
    </w:rPr>
  </w:style>
  <w:style w:type="character" w:customStyle="1" w:styleId="s160">
    <w:name w:val="s_16"/>
    <w:basedOn w:val="12"/>
    <w:link w:val="s16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link w:val="92"/>
    <w:uiPriority w:val="39"/>
    <w:pPr>
      <w:ind w:left="1600" w:firstLine="0"/>
    </w:pPr>
  </w:style>
  <w:style w:type="character" w:customStyle="1" w:styleId="92">
    <w:name w:val="Оглавление 9 Знак"/>
    <w:link w:val="91"/>
  </w:style>
  <w:style w:type="paragraph" w:styleId="81">
    <w:name w:val="toc 8"/>
    <w:link w:val="82"/>
    <w:uiPriority w:val="39"/>
    <w:pPr>
      <w:ind w:left="1400" w:firstLine="0"/>
    </w:pPr>
  </w:style>
  <w:style w:type="character" w:customStyle="1" w:styleId="82">
    <w:name w:val="Оглавление 8 Знак"/>
    <w:link w:val="81"/>
  </w:style>
  <w:style w:type="paragraph" w:customStyle="1" w:styleId="1a">
    <w:name w:val="Основной текст1"/>
    <w:basedOn w:val="a"/>
    <w:link w:val="1b"/>
    <w:pPr>
      <w:widowControl w:val="0"/>
      <w:spacing w:line="264" w:lineRule="auto"/>
      <w:ind w:firstLine="400"/>
      <w:jc w:val="left"/>
    </w:pPr>
  </w:style>
  <w:style w:type="character" w:customStyle="1" w:styleId="1b">
    <w:name w:val="Основной текст1"/>
    <w:basedOn w:val="12"/>
    <w:link w:val="1a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2"/>
    <w:link w:val="af2"/>
  </w:style>
  <w:style w:type="paragraph" w:customStyle="1" w:styleId="1c">
    <w:name w:val="Номер строки1"/>
    <w:basedOn w:val="14"/>
    <w:link w:val="af4"/>
  </w:style>
  <w:style w:type="character" w:styleId="af4">
    <w:name w:val="line number"/>
    <w:basedOn w:val="a0"/>
    <w:link w:val="1c"/>
  </w:style>
  <w:style w:type="paragraph" w:styleId="52">
    <w:name w:val="toc 5"/>
    <w:link w:val="53"/>
    <w:uiPriority w:val="39"/>
    <w:pPr>
      <w:ind w:left="800" w:firstLine="0"/>
    </w:pPr>
  </w:style>
  <w:style w:type="character" w:customStyle="1" w:styleId="53">
    <w:name w:val="Оглавление 5 Знак"/>
    <w:link w:val="52"/>
  </w:style>
  <w:style w:type="paragraph" w:styleId="af5">
    <w:name w:val="annotation subject"/>
    <w:basedOn w:val="ae"/>
    <w:next w:val="ae"/>
    <w:link w:val="af6"/>
    <w:rPr>
      <w:b/>
    </w:rPr>
  </w:style>
  <w:style w:type="character" w:customStyle="1" w:styleId="af6">
    <w:name w:val="Тема примечания Знак"/>
    <w:basedOn w:val="af"/>
    <w:link w:val="af5"/>
    <w:rPr>
      <w:b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2"/>
    <w:link w:val="af7"/>
  </w:style>
  <w:style w:type="paragraph" w:styleId="af9">
    <w:name w:val="Subtitle"/>
    <w:link w:val="afa"/>
    <w:uiPriority w:val="11"/>
    <w:qFormat/>
    <w:rPr>
      <w:rFonts w:ascii="XO Thames" w:hAnsi="XO Thames"/>
      <w:i/>
      <w:color w:val="616161"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color w:val="616161"/>
      <w:sz w:val="24"/>
    </w:rPr>
  </w:style>
  <w:style w:type="paragraph" w:styleId="afb">
    <w:name w:val="List Paragraph"/>
    <w:basedOn w:val="a"/>
    <w:link w:val="afc"/>
    <w:pPr>
      <w:ind w:left="720" w:firstLine="0"/>
      <w:contextualSpacing/>
    </w:pPr>
  </w:style>
  <w:style w:type="character" w:customStyle="1" w:styleId="afc">
    <w:name w:val="Абзац списка Знак"/>
    <w:basedOn w:val="12"/>
    <w:link w:val="afb"/>
  </w:style>
  <w:style w:type="paragraph" w:customStyle="1" w:styleId="toc10">
    <w:name w:val="toc 10"/>
    <w:link w:val="toc100"/>
    <w:uiPriority w:val="39"/>
    <w:pPr>
      <w:ind w:left="1800" w:firstLine="0"/>
    </w:pPr>
  </w:style>
  <w:style w:type="character" w:customStyle="1" w:styleId="toc100">
    <w:name w:val="toc 10"/>
    <w:link w:val="toc10"/>
  </w:style>
  <w:style w:type="paragraph" w:customStyle="1" w:styleId="14">
    <w:name w:val="Основной шрифт абзаца1"/>
  </w:style>
  <w:style w:type="paragraph" w:styleId="afd">
    <w:name w:val="Title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Footnotelast1">
    <w:name w:val="Table_Footnote_last1"/>
    <w:basedOn w:val="a"/>
    <w:next w:val="aff0"/>
    <w:link w:val="aff1"/>
    <w:unhideWhenUsed/>
    <w:pPr>
      <w:ind w:firstLine="0"/>
      <w:jc w:val="left"/>
    </w:pPr>
    <w:rPr>
      <w:rFonts w:ascii="Calibri" w:eastAsia="Calibri" w:hAnsi="Calibri"/>
      <w:color w:val="auto"/>
      <w:sz w:val="20"/>
      <w:lang w:eastAsia="en-US"/>
    </w:rPr>
  </w:style>
  <w:style w:type="character" w:customStyle="1" w:styleId="aff1">
    <w:name w:val="Текст сноски Знак"/>
    <w:basedOn w:val="a0"/>
    <w:link w:val="TableFootnotelast1"/>
    <w:rPr>
      <w:sz w:val="20"/>
      <w:szCs w:val="20"/>
    </w:rPr>
  </w:style>
  <w:style w:type="character" w:styleId="aff2">
    <w:name w:val="footnote reference"/>
    <w:basedOn w:val="a0"/>
    <w:unhideWhenUsed/>
    <w:rPr>
      <w:vertAlign w:val="superscript"/>
    </w:rPr>
  </w:style>
  <w:style w:type="paragraph" w:styleId="aff0">
    <w:name w:val="footnote text"/>
    <w:basedOn w:val="a"/>
    <w:link w:val="1d"/>
    <w:uiPriority w:val="99"/>
    <w:unhideWhenUsed/>
    <w:rPr>
      <w:sz w:val="20"/>
    </w:rPr>
  </w:style>
  <w:style w:type="character" w:customStyle="1" w:styleId="1d">
    <w:name w:val="Текст сноски Знак1"/>
    <w:basedOn w:val="a0"/>
    <w:link w:val="aff0"/>
    <w:uiPriority w:val="99"/>
    <w:rPr>
      <w:sz w:val="20"/>
    </w:rPr>
  </w:style>
  <w:style w:type="character" w:styleId="aff3">
    <w:name w:val="Placeholder Text"/>
    <w:basedOn w:val="a0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customStyle="1" w:styleId="12">
    <w:name w:val="Обычный1"/>
  </w:style>
  <w:style w:type="paragraph" w:customStyle="1" w:styleId="ConsPlusNormal">
    <w:name w:val="ConsPlusNormal"/>
    <w:link w:val="ConsPlusNormal0"/>
    <w:pPr>
      <w:widowControl w:val="0"/>
      <w:ind w:firstLine="0"/>
      <w:jc w:val="left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23">
    <w:name w:val="toc 2"/>
    <w:link w:val="24"/>
    <w:uiPriority w:val="39"/>
    <w:pPr>
      <w:ind w:left="200" w:firstLine="0"/>
    </w:pPr>
  </w:style>
  <w:style w:type="character" w:customStyle="1" w:styleId="24">
    <w:name w:val="Оглавление 2 Знак"/>
    <w:link w:val="23"/>
  </w:style>
  <w:style w:type="paragraph" w:styleId="42">
    <w:name w:val="toc 4"/>
    <w:link w:val="43"/>
    <w:uiPriority w:val="39"/>
    <w:pPr>
      <w:ind w:left="600" w:firstLine="0"/>
    </w:pPr>
  </w:style>
  <w:style w:type="character" w:customStyle="1" w:styleId="43">
    <w:name w:val="Оглавление 4 Знак"/>
    <w:link w:val="42"/>
  </w:style>
  <w:style w:type="paragraph" w:styleId="61">
    <w:name w:val="toc 6"/>
    <w:link w:val="62"/>
    <w:uiPriority w:val="39"/>
    <w:pPr>
      <w:ind w:left="1000" w:firstLine="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 w:firstLine="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  <w:ind w:firstLine="0"/>
      <w:jc w:val="left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customStyle="1" w:styleId="empty">
    <w:name w:val="empty"/>
    <w:basedOn w:val="a"/>
    <w:link w:val="empty0"/>
    <w:pPr>
      <w:spacing w:beforeAutospacing="1" w:afterAutospacing="1"/>
      <w:ind w:firstLine="0"/>
      <w:jc w:val="left"/>
    </w:pPr>
    <w:rPr>
      <w:sz w:val="24"/>
    </w:rPr>
  </w:style>
  <w:style w:type="character" w:customStyle="1" w:styleId="empty0">
    <w:name w:val="empty"/>
    <w:basedOn w:val="12"/>
    <w:link w:val="empty"/>
    <w:rPr>
      <w:sz w:val="24"/>
    </w:rPr>
  </w:style>
  <w:style w:type="paragraph" w:customStyle="1" w:styleId="13">
    <w:name w:val="Неразрешенное упоминание1"/>
    <w:basedOn w:val="14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0"/>
    <w:link w:val="13"/>
    <w:rPr>
      <w:color w:val="605E5C"/>
      <w:shd w:val="clear" w:color="auto" w:fill="E1DFDD"/>
    </w:rPr>
  </w:style>
  <w:style w:type="paragraph" w:styleId="32">
    <w:name w:val="toc 3"/>
    <w:link w:val="33"/>
    <w:uiPriority w:val="39"/>
    <w:pPr>
      <w:ind w:left="400" w:firstLine="0"/>
    </w:pPr>
  </w:style>
  <w:style w:type="character" w:customStyle="1" w:styleId="33">
    <w:name w:val="Оглавление 3 Знак"/>
    <w:link w:val="32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2"/>
    <w:link w:val="ac"/>
    <w:rPr>
      <w:rFonts w:ascii="Tahoma" w:hAnsi="Tahoma"/>
      <w:sz w:val="16"/>
    </w:rPr>
  </w:style>
  <w:style w:type="paragraph" w:styleId="ae">
    <w:name w:val="annotation text"/>
    <w:basedOn w:val="a"/>
    <w:link w:val="af"/>
    <w:rPr>
      <w:sz w:val="20"/>
    </w:rPr>
  </w:style>
  <w:style w:type="character" w:customStyle="1" w:styleId="af">
    <w:name w:val="Текст примечания Знак"/>
    <w:basedOn w:val="12"/>
    <w:link w:val="ae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6">
    <w:name w:val="Знак примечания1"/>
    <w:basedOn w:val="14"/>
    <w:link w:val="af0"/>
    <w:rPr>
      <w:sz w:val="16"/>
    </w:rPr>
  </w:style>
  <w:style w:type="character" w:styleId="af0">
    <w:name w:val="annotation reference"/>
    <w:basedOn w:val="a0"/>
    <w:link w:val="16"/>
    <w:rPr>
      <w:sz w:val="16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7">
    <w:name w:val="Гиперссылка1"/>
    <w:basedOn w:val="14"/>
    <w:link w:val="af1"/>
    <w:rPr>
      <w:color w:val="0000FF"/>
      <w:u w:val="single"/>
    </w:rPr>
  </w:style>
  <w:style w:type="character" w:styleId="af1">
    <w:name w:val="Hyperlink"/>
    <w:basedOn w:val="a0"/>
    <w:link w:val="1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8">
    <w:name w:val="toc 1"/>
    <w:link w:val="19"/>
    <w:uiPriority w:val="39"/>
    <w:pPr>
      <w:ind w:firstLine="0"/>
    </w:pPr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s16">
    <w:name w:val="s_16"/>
    <w:basedOn w:val="a"/>
    <w:link w:val="s160"/>
    <w:pPr>
      <w:spacing w:beforeAutospacing="1" w:afterAutospacing="1"/>
      <w:ind w:firstLine="0"/>
      <w:jc w:val="left"/>
    </w:pPr>
    <w:rPr>
      <w:sz w:val="24"/>
    </w:rPr>
  </w:style>
  <w:style w:type="character" w:customStyle="1" w:styleId="s160">
    <w:name w:val="s_16"/>
    <w:basedOn w:val="12"/>
    <w:link w:val="s16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link w:val="92"/>
    <w:uiPriority w:val="39"/>
    <w:pPr>
      <w:ind w:left="1600" w:firstLine="0"/>
    </w:pPr>
  </w:style>
  <w:style w:type="character" w:customStyle="1" w:styleId="92">
    <w:name w:val="Оглавление 9 Знак"/>
    <w:link w:val="91"/>
  </w:style>
  <w:style w:type="paragraph" w:styleId="81">
    <w:name w:val="toc 8"/>
    <w:link w:val="82"/>
    <w:uiPriority w:val="39"/>
    <w:pPr>
      <w:ind w:left="1400" w:firstLine="0"/>
    </w:pPr>
  </w:style>
  <w:style w:type="character" w:customStyle="1" w:styleId="82">
    <w:name w:val="Оглавление 8 Знак"/>
    <w:link w:val="81"/>
  </w:style>
  <w:style w:type="paragraph" w:customStyle="1" w:styleId="1a">
    <w:name w:val="Основной текст1"/>
    <w:basedOn w:val="a"/>
    <w:link w:val="1b"/>
    <w:pPr>
      <w:widowControl w:val="0"/>
      <w:spacing w:line="264" w:lineRule="auto"/>
      <w:ind w:firstLine="400"/>
      <w:jc w:val="left"/>
    </w:pPr>
  </w:style>
  <w:style w:type="character" w:customStyle="1" w:styleId="1b">
    <w:name w:val="Основной текст1"/>
    <w:basedOn w:val="12"/>
    <w:link w:val="1a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2"/>
    <w:link w:val="af2"/>
  </w:style>
  <w:style w:type="paragraph" w:customStyle="1" w:styleId="1c">
    <w:name w:val="Номер строки1"/>
    <w:basedOn w:val="14"/>
    <w:link w:val="af4"/>
  </w:style>
  <w:style w:type="character" w:styleId="af4">
    <w:name w:val="line number"/>
    <w:basedOn w:val="a0"/>
    <w:link w:val="1c"/>
  </w:style>
  <w:style w:type="paragraph" w:styleId="52">
    <w:name w:val="toc 5"/>
    <w:link w:val="53"/>
    <w:uiPriority w:val="39"/>
    <w:pPr>
      <w:ind w:left="800" w:firstLine="0"/>
    </w:pPr>
  </w:style>
  <w:style w:type="character" w:customStyle="1" w:styleId="53">
    <w:name w:val="Оглавление 5 Знак"/>
    <w:link w:val="52"/>
  </w:style>
  <w:style w:type="paragraph" w:styleId="af5">
    <w:name w:val="annotation subject"/>
    <w:basedOn w:val="ae"/>
    <w:next w:val="ae"/>
    <w:link w:val="af6"/>
    <w:rPr>
      <w:b/>
    </w:rPr>
  </w:style>
  <w:style w:type="character" w:customStyle="1" w:styleId="af6">
    <w:name w:val="Тема примечания Знак"/>
    <w:basedOn w:val="af"/>
    <w:link w:val="af5"/>
    <w:rPr>
      <w:b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2"/>
    <w:link w:val="af7"/>
  </w:style>
  <w:style w:type="paragraph" w:styleId="af9">
    <w:name w:val="Subtitle"/>
    <w:link w:val="afa"/>
    <w:uiPriority w:val="11"/>
    <w:qFormat/>
    <w:rPr>
      <w:rFonts w:ascii="XO Thames" w:hAnsi="XO Thames"/>
      <w:i/>
      <w:color w:val="616161"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color w:val="616161"/>
      <w:sz w:val="24"/>
    </w:rPr>
  </w:style>
  <w:style w:type="paragraph" w:styleId="afb">
    <w:name w:val="List Paragraph"/>
    <w:basedOn w:val="a"/>
    <w:link w:val="afc"/>
    <w:pPr>
      <w:ind w:left="720" w:firstLine="0"/>
      <w:contextualSpacing/>
    </w:pPr>
  </w:style>
  <w:style w:type="character" w:customStyle="1" w:styleId="afc">
    <w:name w:val="Абзац списка Знак"/>
    <w:basedOn w:val="12"/>
    <w:link w:val="afb"/>
  </w:style>
  <w:style w:type="paragraph" w:customStyle="1" w:styleId="toc10">
    <w:name w:val="toc 10"/>
    <w:link w:val="toc100"/>
    <w:uiPriority w:val="39"/>
    <w:pPr>
      <w:ind w:left="1800" w:firstLine="0"/>
    </w:pPr>
  </w:style>
  <w:style w:type="character" w:customStyle="1" w:styleId="toc100">
    <w:name w:val="toc 10"/>
    <w:link w:val="toc10"/>
  </w:style>
  <w:style w:type="paragraph" w:customStyle="1" w:styleId="14">
    <w:name w:val="Основной шрифт абзаца1"/>
  </w:style>
  <w:style w:type="paragraph" w:styleId="afd">
    <w:name w:val="Title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Footnotelast1">
    <w:name w:val="Table_Footnote_last1"/>
    <w:basedOn w:val="a"/>
    <w:next w:val="aff0"/>
    <w:link w:val="aff1"/>
    <w:unhideWhenUsed/>
    <w:pPr>
      <w:ind w:firstLine="0"/>
      <w:jc w:val="left"/>
    </w:pPr>
    <w:rPr>
      <w:rFonts w:ascii="Calibri" w:eastAsia="Calibri" w:hAnsi="Calibri"/>
      <w:color w:val="auto"/>
      <w:sz w:val="20"/>
      <w:lang w:eastAsia="en-US"/>
    </w:rPr>
  </w:style>
  <w:style w:type="character" w:customStyle="1" w:styleId="aff1">
    <w:name w:val="Текст сноски Знак"/>
    <w:basedOn w:val="a0"/>
    <w:link w:val="TableFootnotelast1"/>
    <w:rPr>
      <w:sz w:val="20"/>
      <w:szCs w:val="20"/>
    </w:rPr>
  </w:style>
  <w:style w:type="character" w:styleId="aff2">
    <w:name w:val="footnote reference"/>
    <w:basedOn w:val="a0"/>
    <w:unhideWhenUsed/>
    <w:rPr>
      <w:vertAlign w:val="superscript"/>
    </w:rPr>
  </w:style>
  <w:style w:type="paragraph" w:styleId="aff0">
    <w:name w:val="footnote text"/>
    <w:basedOn w:val="a"/>
    <w:link w:val="1d"/>
    <w:uiPriority w:val="99"/>
    <w:unhideWhenUsed/>
    <w:rPr>
      <w:sz w:val="20"/>
    </w:rPr>
  </w:style>
  <w:style w:type="character" w:customStyle="1" w:styleId="1d">
    <w:name w:val="Текст сноски Знак1"/>
    <w:basedOn w:val="a0"/>
    <w:link w:val="aff0"/>
    <w:uiPriority w:val="99"/>
    <w:rPr>
      <w:sz w:val="20"/>
    </w:rPr>
  </w:style>
  <w:style w:type="character" w:styleId="aff3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89195-00FB-4166-B3D6-7DD0AC83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Емельянова</dc:creator>
  <cp:lastModifiedBy>Стефановская Анастасия Васильевна</cp:lastModifiedBy>
  <cp:revision>3</cp:revision>
  <cp:lastPrinted>2023-07-31T08:36:00Z</cp:lastPrinted>
  <dcterms:created xsi:type="dcterms:W3CDTF">2023-08-02T13:37:00Z</dcterms:created>
  <dcterms:modified xsi:type="dcterms:W3CDTF">2023-08-02T13:38:00Z</dcterms:modified>
</cp:coreProperties>
</file>