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C8D" w:rsidRPr="003F761D" w:rsidRDefault="003D7C8D" w:rsidP="003D7C8D">
      <w:pPr>
        <w:pStyle w:val="ConsPlusTitle"/>
        <w:jc w:val="center"/>
      </w:pPr>
    </w:p>
    <w:p w:rsidR="003D7C8D" w:rsidRPr="003F761D" w:rsidRDefault="003D7C8D" w:rsidP="003D7C8D">
      <w:pPr>
        <w:pStyle w:val="ConsPlusTitle"/>
        <w:jc w:val="center"/>
      </w:pPr>
      <w:r w:rsidRPr="003F761D">
        <w:t>МИНИСТЕРСТВО ПРИРОДНЫХ РЕСУРСОВ И ЭКОЛОГИИ</w:t>
      </w:r>
    </w:p>
    <w:p w:rsidR="003D7C8D" w:rsidRPr="003F761D" w:rsidRDefault="003D7C8D" w:rsidP="003D7C8D">
      <w:pPr>
        <w:pStyle w:val="ConsPlusTitle"/>
        <w:jc w:val="center"/>
      </w:pPr>
      <w:r w:rsidRPr="003F761D">
        <w:t>РОССИЙСКОЙ ФЕДЕРАЦИИ</w:t>
      </w:r>
    </w:p>
    <w:p w:rsidR="003D7C8D" w:rsidRPr="003F761D" w:rsidRDefault="003D7C8D" w:rsidP="003D7C8D">
      <w:pPr>
        <w:pStyle w:val="ConsPlusTitle"/>
        <w:jc w:val="center"/>
      </w:pPr>
    </w:p>
    <w:p w:rsidR="003D7C8D" w:rsidRPr="003F761D" w:rsidRDefault="003D7C8D" w:rsidP="003D7C8D">
      <w:pPr>
        <w:pStyle w:val="ConsPlusTitle"/>
        <w:jc w:val="center"/>
      </w:pPr>
      <w:r w:rsidRPr="003F761D">
        <w:t>ПРИКАЗ</w:t>
      </w:r>
    </w:p>
    <w:p w:rsidR="003D7C8D" w:rsidRPr="003F761D" w:rsidRDefault="003D7C8D" w:rsidP="003D7C8D">
      <w:pPr>
        <w:pStyle w:val="ConsPlusTitle"/>
        <w:jc w:val="center"/>
      </w:pPr>
      <w:r w:rsidRPr="003F761D">
        <w:t>от 5 июля 2016 г. N 384</w:t>
      </w:r>
    </w:p>
    <w:p w:rsidR="003D7C8D" w:rsidRPr="003F761D" w:rsidRDefault="003D7C8D" w:rsidP="003D7C8D">
      <w:pPr>
        <w:pStyle w:val="ConsPlusTitle"/>
        <w:jc w:val="center"/>
      </w:pPr>
    </w:p>
    <w:p w:rsidR="003D7C8D" w:rsidRPr="003F761D" w:rsidRDefault="003D7C8D" w:rsidP="003D7C8D">
      <w:pPr>
        <w:pStyle w:val="ConsPlusTitle"/>
        <w:jc w:val="center"/>
      </w:pPr>
      <w:r w:rsidRPr="003F761D">
        <w:t>О ВНЕСЕНИИ ИЗМЕНЕНИЙ</w:t>
      </w:r>
    </w:p>
    <w:p w:rsidR="003D7C8D" w:rsidRPr="003F761D" w:rsidRDefault="003D7C8D" w:rsidP="003D7C8D">
      <w:pPr>
        <w:pStyle w:val="ConsPlusTitle"/>
        <w:jc w:val="center"/>
      </w:pPr>
      <w:r w:rsidRPr="003F761D">
        <w:t>В ПРИКАЗ МИНПРИРОДЫ РОССИИ ОТ 07.12.2012 N 425</w:t>
      </w:r>
    </w:p>
    <w:p w:rsidR="003D7C8D" w:rsidRPr="003F761D" w:rsidRDefault="003D7C8D" w:rsidP="003D7C8D">
      <w:pPr>
        <w:pStyle w:val="ConsPlusTitle"/>
        <w:jc w:val="center"/>
      </w:pPr>
      <w:r w:rsidRPr="003F761D">
        <w:t>"ОБ УТВЕРЖДЕНИИ ПЕРЕЧНЯ ИЗМЕРЕНИЙ, ОТНОСЯЩИХСЯ К СФЕРЕ</w:t>
      </w:r>
    </w:p>
    <w:p w:rsidR="003D7C8D" w:rsidRPr="003F761D" w:rsidRDefault="003D7C8D" w:rsidP="003D7C8D">
      <w:pPr>
        <w:pStyle w:val="ConsPlusTitle"/>
        <w:jc w:val="center"/>
      </w:pPr>
      <w:r w:rsidRPr="003F761D">
        <w:t>ГОСУДАРСТВЕННОГО РЕГУЛИРОВАНИЯ ОБЕСПЕЧЕНИЯ ЕДИНСТВА</w:t>
      </w:r>
    </w:p>
    <w:p w:rsidR="003D7C8D" w:rsidRPr="003F761D" w:rsidRDefault="003D7C8D" w:rsidP="003D7C8D">
      <w:pPr>
        <w:pStyle w:val="ConsPlusTitle"/>
        <w:jc w:val="center"/>
      </w:pPr>
      <w:r w:rsidRPr="003F761D">
        <w:t>ИЗМЕРЕНИЙ И ВЫПОЛНЯЕМЫХ ПРИ ОСУЩЕСТВЛЕНИИ ДЕЯТЕЛЬНОСТИ</w:t>
      </w:r>
    </w:p>
    <w:p w:rsidR="003D7C8D" w:rsidRPr="003F761D" w:rsidRDefault="003D7C8D" w:rsidP="003D7C8D">
      <w:pPr>
        <w:pStyle w:val="ConsPlusTitle"/>
        <w:jc w:val="center"/>
      </w:pPr>
      <w:r w:rsidRPr="003F761D">
        <w:t xml:space="preserve">В ОБЛАСТИ ОХРАНЫ ОКРУЖАЮЩЕЙ СРЕДЫ, И </w:t>
      </w:r>
      <w:proofErr w:type="gramStart"/>
      <w:r w:rsidRPr="003F761D">
        <w:t>ОБЯЗАТЕЛЬНЫХ</w:t>
      </w:r>
      <w:proofErr w:type="gramEnd"/>
    </w:p>
    <w:p w:rsidR="003D7C8D" w:rsidRPr="003F761D" w:rsidRDefault="003D7C8D" w:rsidP="003D7C8D">
      <w:pPr>
        <w:pStyle w:val="ConsPlusTitle"/>
        <w:jc w:val="center"/>
      </w:pPr>
      <w:r w:rsidRPr="003F761D">
        <w:t>МЕТРОЛОГИЧЕСКИХ ТРЕБОВАНИЙ К НИМ, В ТОМ ЧИСЛЕ</w:t>
      </w:r>
    </w:p>
    <w:p w:rsidR="003D7C8D" w:rsidRPr="003F761D" w:rsidRDefault="003D7C8D" w:rsidP="003D7C8D">
      <w:pPr>
        <w:pStyle w:val="ConsPlusTitle"/>
        <w:jc w:val="center"/>
      </w:pPr>
      <w:r w:rsidRPr="003F761D">
        <w:t>ПОКАЗАТЕЛЕЙ ТОЧНОСТИ ИЗМЕРЕНИЙ"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Приказываю:</w:t>
      </w: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 xml:space="preserve">1. </w:t>
      </w:r>
      <w:proofErr w:type="gramStart"/>
      <w:r w:rsidRPr="003F761D">
        <w:t>Приказ Минприроды России от 07.12.2012 N 425 "Об утверждении перечня измерений, относящихся к сфере государственного регулирования обеспечения единства измерений и выполняемых при осуществлении деятельности в области охраны окружающей среды, и обязательных метрологических требований к ним, в том числе показателей точности измерений" (зарегистрирован Министерством юстиции Российской Федерации 12.02.2013, регистрационный N 27026) дополнить абзацем следующего содержания:</w:t>
      </w:r>
      <w:proofErr w:type="gramEnd"/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"Конкретные методики (методы) измерений могут содержать значения предельно допустимых погрешностей в абсолютных величинах, которые находятся в пределах установленных настоящим приказом значений относительных погрешностей измерений</w:t>
      </w:r>
      <w:proofErr w:type="gramStart"/>
      <w:r w:rsidRPr="003F761D">
        <w:t>.".</w:t>
      </w:r>
      <w:proofErr w:type="gramEnd"/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2. В перечне измерений, относящихся к сфере государственного регулирования обеспечения единства измерений и выполняемых при осуществлении деятельности в области охраны окружающей среды и обязательных метрологических требований к ним, в том числе показателей точности измерений, утвержденном приказом Минприроды России от 07.12.2012 N 425:</w:t>
      </w: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2.1. Подпункт 1.1 пункта 1 раздела "Основные измерения состояния и загрязнения окружающей среды" изложить в следующей редакции: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nformat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"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┌──────┬────────────────────────────┬────────────────────────────┬──────────────────────────────┐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1.1</w:t>
      </w:r>
      <w:proofErr w:type="gramStart"/>
      <w:r w:rsidRPr="003F761D">
        <w:rPr>
          <w:sz w:val="16"/>
          <w:szCs w:val="16"/>
        </w:rPr>
        <w:t xml:space="preserve">  │В</w:t>
      </w:r>
      <w:proofErr w:type="gramEnd"/>
      <w:r w:rsidRPr="003F761D">
        <w:rPr>
          <w:sz w:val="16"/>
          <w:szCs w:val="16"/>
        </w:rPr>
        <w:t xml:space="preserve"> атмосферном воздухе для   │                            │   дельта = +/- (25....72)%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│стойких органических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│загрязнителей,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</w:t>
      </w:r>
      <w:proofErr w:type="spellStart"/>
      <w:r w:rsidRPr="003F761D">
        <w:rPr>
          <w:sz w:val="16"/>
          <w:szCs w:val="16"/>
        </w:rPr>
        <w:t>полиароматических</w:t>
      </w:r>
      <w:proofErr w:type="spellEnd"/>
      <w:r w:rsidRPr="003F761D">
        <w:rPr>
          <w:sz w:val="16"/>
          <w:szCs w:val="16"/>
        </w:rPr>
        <w:t xml:space="preserve">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│углеводородов, летучих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│органических соединений,    │     -10      -7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</w:t>
      </w:r>
      <w:proofErr w:type="gramStart"/>
      <w:r w:rsidRPr="003F761D">
        <w:rPr>
          <w:sz w:val="16"/>
          <w:szCs w:val="16"/>
        </w:rPr>
        <w:t>массовой</w:t>
      </w:r>
      <w:proofErr w:type="gramEnd"/>
      <w:r w:rsidRPr="003F761D">
        <w:rPr>
          <w:sz w:val="16"/>
          <w:szCs w:val="16"/>
        </w:rPr>
        <w:t>, мг/м3             │от 10    до 10   мг/м3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├────────────────────────────┼────────────────────────────┼──────────────────────────────┤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│В атмосферном воздухе       │     -7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</w:t>
      </w:r>
      <w:proofErr w:type="gramStart"/>
      <w:r w:rsidRPr="003F761D">
        <w:rPr>
          <w:sz w:val="16"/>
          <w:szCs w:val="16"/>
        </w:rPr>
        <w:t>массовой</w:t>
      </w:r>
      <w:proofErr w:type="gramEnd"/>
      <w:r w:rsidRPr="003F761D">
        <w:rPr>
          <w:sz w:val="16"/>
          <w:szCs w:val="16"/>
        </w:rPr>
        <w:t>, мг/м3             │от 10   до 100 мг/м3        │   дельта = +/- (10....25)%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                            │                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└──────┴────────────────────────────┴────────────────────────────┴──────────────────────────────┘</w:t>
      </w:r>
    </w:p>
    <w:p w:rsidR="003D7C8D" w:rsidRPr="003F761D" w:rsidRDefault="003D7C8D" w:rsidP="003D7C8D">
      <w:pPr>
        <w:pStyle w:val="ConsPlusNonformat"/>
        <w:jc w:val="both"/>
        <w:rPr>
          <w:sz w:val="16"/>
          <w:szCs w:val="16"/>
        </w:rPr>
      </w:pPr>
      <w:r w:rsidRPr="003F761D">
        <w:rPr>
          <w:sz w:val="16"/>
          <w:szCs w:val="16"/>
        </w:rPr>
        <w:t xml:space="preserve">                                                                                                 ".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2.2. Подпункты 1.4 и 1.5 пункта 1 раздела "Основные измерения состояния и загрязнения окружающей среды" изложить в следующей редакции: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nformat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"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┌──────┬────────────────────────────┬────────────────────────────┬──────────────────────────────┐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1.4</w:t>
      </w:r>
      <w:proofErr w:type="gramStart"/>
      <w:r w:rsidRPr="003F761D">
        <w:rPr>
          <w:sz w:val="16"/>
          <w:szCs w:val="16"/>
        </w:rPr>
        <w:t xml:space="preserve">  │В</w:t>
      </w:r>
      <w:proofErr w:type="gramEnd"/>
      <w:r w:rsidRPr="003F761D">
        <w:rPr>
          <w:sz w:val="16"/>
          <w:szCs w:val="16"/>
        </w:rPr>
        <w:t xml:space="preserve"> поверхностных и подземных │                            │  дельта &lt;*&gt; = +/- (3....80)%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</w:t>
      </w:r>
      <w:proofErr w:type="gramStart"/>
      <w:r w:rsidRPr="003F761D">
        <w:rPr>
          <w:sz w:val="16"/>
          <w:szCs w:val="16"/>
        </w:rPr>
        <w:t>водах</w:t>
      </w:r>
      <w:proofErr w:type="gramEnd"/>
      <w:r w:rsidRPr="003F761D">
        <w:rPr>
          <w:sz w:val="16"/>
          <w:szCs w:val="16"/>
        </w:rPr>
        <w:t xml:space="preserve">                       │      -10      5  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</w:t>
      </w:r>
      <w:proofErr w:type="gramStart"/>
      <w:r w:rsidRPr="003F761D">
        <w:rPr>
          <w:sz w:val="16"/>
          <w:szCs w:val="16"/>
        </w:rPr>
        <w:t>массовой</w:t>
      </w:r>
      <w:proofErr w:type="gramEnd"/>
      <w:r w:rsidRPr="003F761D">
        <w:rPr>
          <w:sz w:val="16"/>
          <w:szCs w:val="16"/>
        </w:rPr>
        <w:t>, мг/дм3            │5 * 10    до 10  мг/дм3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├──────┼────────────────────────────┼────────────────────────────┼──────────────────────────────┤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1.5</w:t>
      </w:r>
      <w:proofErr w:type="gramStart"/>
      <w:r w:rsidRPr="003F761D">
        <w:rPr>
          <w:sz w:val="16"/>
          <w:szCs w:val="16"/>
        </w:rPr>
        <w:t xml:space="preserve">  │В</w:t>
      </w:r>
      <w:proofErr w:type="gramEnd"/>
      <w:r w:rsidRPr="003F761D">
        <w:rPr>
          <w:sz w:val="16"/>
          <w:szCs w:val="16"/>
        </w:rPr>
        <w:t xml:space="preserve"> морских водах             │  -7                        │  дельта &lt;*&gt; = +/- (3....80)%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│      │</w:t>
      </w:r>
      <w:proofErr w:type="gramStart"/>
      <w:r w:rsidRPr="003F761D">
        <w:rPr>
          <w:sz w:val="16"/>
          <w:szCs w:val="16"/>
        </w:rPr>
        <w:t>массовой</w:t>
      </w:r>
      <w:proofErr w:type="gramEnd"/>
      <w:r w:rsidRPr="003F761D">
        <w:rPr>
          <w:sz w:val="16"/>
          <w:szCs w:val="16"/>
        </w:rPr>
        <w:t>, мг/дм3            │10   до 5,0 мг/дм3          │                              │</w:t>
      </w:r>
    </w:p>
    <w:p w:rsidR="003D7C8D" w:rsidRPr="003F761D" w:rsidRDefault="003D7C8D" w:rsidP="003D7C8D">
      <w:pPr>
        <w:pStyle w:val="ConsPlusCell"/>
        <w:jc w:val="both"/>
        <w:rPr>
          <w:sz w:val="16"/>
          <w:szCs w:val="16"/>
        </w:rPr>
      </w:pPr>
      <w:r w:rsidRPr="003F761D">
        <w:rPr>
          <w:sz w:val="16"/>
          <w:szCs w:val="16"/>
        </w:rPr>
        <w:t>└──────┴────────────────────────────┴────────────────────────────┴──────────────────────────────┘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--------------------------------</w:t>
      </w: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lastRenderedPageBreak/>
        <w:t xml:space="preserve">&lt;*&gt; Предельно допустимая погрешность измерений для значения 0,5 ПДК не должна превышать 1,2 </w:t>
      </w:r>
      <w:r w:rsidRPr="003F761D">
        <w:rPr>
          <w:noProof/>
          <w:position w:val="-6"/>
          <w:lang w:eastAsia="ru-RU"/>
        </w:rPr>
        <w:drawing>
          <wp:inline distT="0" distB="0" distL="0" distR="0" wp14:anchorId="3CBA6876" wp14:editId="564644DE">
            <wp:extent cx="142875" cy="180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61D">
        <w:t>.".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2.3. Пункт 2 и подпункт 3.2 пункта 3 раздела "Основные измерения состояния и загрязнения окружающей среды" исключить.</w:t>
      </w: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2.4. Подпункт 3.3 пункта 3 раздела "Основные измерения состояния и загрязнения окружающей среды" считать подпунктом 3.2.</w:t>
      </w: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2.5. В пункте 9 раздела "Сопутствующие измерения состояния и загрязнения окружающей среды" графу 4 "Предельно допустимая погрешность" изложить в следующей редакции:</w:t>
      </w:r>
    </w:p>
    <w:p w:rsidR="003D7C8D" w:rsidRPr="003F761D" w:rsidRDefault="003D7C8D" w:rsidP="003D7C8D">
      <w:pPr>
        <w:pStyle w:val="ConsPlusNormal"/>
        <w:ind w:firstLine="540"/>
        <w:jc w:val="both"/>
      </w:pPr>
      <w:r w:rsidRPr="003F761D">
        <w:t>"+/- (0,05....0,2)".</w:t>
      </w:r>
    </w:p>
    <w:p w:rsidR="003D7C8D" w:rsidRPr="003F761D" w:rsidRDefault="003D7C8D" w:rsidP="003D7C8D">
      <w:pPr>
        <w:pStyle w:val="ConsPlusNormal"/>
        <w:jc w:val="both"/>
      </w:pPr>
    </w:p>
    <w:p w:rsidR="003D7C8D" w:rsidRPr="003F761D" w:rsidRDefault="003D7C8D" w:rsidP="003D7C8D">
      <w:pPr>
        <w:pStyle w:val="ConsPlusNormal"/>
        <w:jc w:val="right"/>
      </w:pPr>
      <w:r w:rsidRPr="003F761D">
        <w:t>Министр</w:t>
      </w:r>
    </w:p>
    <w:p w:rsidR="003D7C8D" w:rsidRPr="003F761D" w:rsidRDefault="003D7C8D" w:rsidP="003D7C8D">
      <w:pPr>
        <w:pStyle w:val="ConsPlusNormal"/>
        <w:jc w:val="right"/>
      </w:pPr>
      <w:r w:rsidRPr="003F761D">
        <w:t>С.Е.ДОНСКОЙ</w:t>
      </w:r>
    </w:p>
    <w:p w:rsidR="003D7C8D" w:rsidRPr="003F761D" w:rsidRDefault="003D7C8D" w:rsidP="003D7C8D">
      <w:pPr>
        <w:pStyle w:val="ConsPlusNormal"/>
        <w:jc w:val="both"/>
      </w:pPr>
    </w:p>
    <w:p w:rsidR="00324826" w:rsidRDefault="00324826">
      <w:bookmarkStart w:id="0" w:name="_GoBack"/>
      <w:bookmarkEnd w:id="0"/>
    </w:p>
    <w:sectPr w:rsidR="00324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C8D"/>
    <w:rsid w:val="00067CA3"/>
    <w:rsid w:val="00324826"/>
    <w:rsid w:val="003D7C8D"/>
    <w:rsid w:val="005D5C63"/>
    <w:rsid w:val="00807A38"/>
    <w:rsid w:val="0087724C"/>
    <w:rsid w:val="009879D2"/>
    <w:rsid w:val="00C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C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3D7C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7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D7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C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3D7C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D7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D7C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D7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Шевелева Ольга Васильевна</dc:creator>
  <cp:lastModifiedBy>Шевелева Ольга Васильевна</cp:lastModifiedBy>
  <cp:revision>1</cp:revision>
  <dcterms:created xsi:type="dcterms:W3CDTF">2016-08-08T07:23:00Z</dcterms:created>
  <dcterms:modified xsi:type="dcterms:W3CDTF">2016-08-08T07:24:00Z</dcterms:modified>
</cp:coreProperties>
</file>