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9"/>
        <w:jc w:val="both"/>
        <w:rPr>
          <w:rFonts w:ascii="Arial" w:hAnsi="Arial"/>
          <w:b/>
          <w:b/>
          <w:bCs/>
          <w:sz w:val="24"/>
          <w:szCs w:val="24"/>
          <w:lang w:val="en-US"/>
        </w:rPr>
      </w:pPr>
      <w:bookmarkStart w:id="0" w:name="__DdeLink__3082_4168366870"/>
      <w:r>
        <w:rPr>
          <w:b/>
          <w:bCs/>
          <w:sz w:val="24"/>
          <w:szCs w:val="24"/>
          <w:lang w:val="en-US"/>
        </w:rPr>
        <w:t>Как УК избежала штрафа в 250 тыс. рублей за некорректное исключение услуги по вывозу ТКО из платы за содержание жилого помещения</w:t>
      </w:r>
      <w:bookmarkEnd w:id="0"/>
    </w:p>
    <w:p>
      <w:pPr>
        <w:pStyle w:val="Style19"/>
        <w:jc w:val="both"/>
        <w:rPr/>
      </w:pPr>
      <w:r>
        <w:rPr/>
        <w:t>В ходе проведения внеплановой документарной проверки было выявлено, что управляющая организация с 1 января 2019 года некорректно исключила из состава платы за содержание жилого помещения стоимость услуг по сбору, вывозу, утилизации (захоронению) твердых коммунальных отходов.</w:t>
      </w:r>
    </w:p>
    <w:p>
      <w:pPr>
        <w:pStyle w:val="Style19"/>
        <w:jc w:val="both"/>
        <w:rPr/>
      </w:pPr>
      <w:r>
        <w:rPr/>
        <w:t>Тариф на содержание и ремонт общего имущества за 1 кв.м. жилой площади с 1 апреля 2018 года был установлен в размере 20,40 рублей. Стоимость услуги «Вывоз ТКО» составляла 0,8 рубля. Поскольку с 1 января 2019 года услуга по обращению с ТКО перешла в разряд коммунальных, тариф с начала года должен был составлять: 20,40 рублей — 0,80 рублей = 19,60 рублей за 1кв.м.</w:t>
      </w:r>
    </w:p>
    <w:p>
      <w:pPr>
        <w:pStyle w:val="Style19"/>
        <w:jc w:val="both"/>
        <w:rPr/>
      </w:pPr>
      <w:r>
        <w:rPr/>
        <w:t>Однако исходя из платежных документов, выставленных собственникам помещений за январь 2019 года, установлено, что тариф за содержание составлял 20,20 рублей.</w:t>
      </w:r>
    </w:p>
    <w:p>
      <w:pPr>
        <w:pStyle w:val="Style19"/>
        <w:jc w:val="both"/>
        <w:rPr/>
      </w:pPr>
      <w:r>
        <w:rPr/>
        <w:t>Изложенное послужило основанием для составления протокола об административном правонарушении и вынесения постановления от 10 июня 2019 года, которым управляющая организация была привлечена к административной ответственности за нарушение лицензионных требований по ч. 2 статьи 14.1.3 КоАП РФ. Штраф составил 250 тыс. рублей.</w:t>
      </w:r>
    </w:p>
    <w:p>
      <w:pPr>
        <w:pStyle w:val="Style19"/>
        <w:jc w:val="both"/>
        <w:rPr/>
      </w:pPr>
      <w:r>
        <w:rPr/>
        <w:t>Однако управляющая организация с постановлением не согласилась и обратилась в суд.</w:t>
      </w:r>
    </w:p>
    <w:p>
      <w:pPr>
        <w:pStyle w:val="Style19"/>
        <w:jc w:val="both"/>
        <w:rPr/>
      </w:pPr>
      <w:hyperlink r:id="rId2">
        <w:r>
          <w:rPr>
            <w:rStyle w:val="Style10"/>
          </w:rPr>
          <w:t>Решение Арбитражного суда Республики Башкортостан от 19 сентября 2019 г. по делу № А07-21869/2019</w:t>
        </w:r>
      </w:hyperlink>
    </w:p>
    <w:p>
      <w:pPr>
        <w:pStyle w:val="3"/>
        <w:jc w:val="both"/>
        <w:rPr/>
      </w:pPr>
      <w:r>
        <w:rPr/>
        <w:t>Позиция суда</w:t>
      </w:r>
    </w:p>
    <w:p>
      <w:pPr>
        <w:pStyle w:val="Style19"/>
        <w:jc w:val="both"/>
        <w:rPr/>
      </w:pPr>
      <w:r>
        <w:rPr/>
        <w:t>В связи с изменениями, вступившими в силу с 1 января 2019 года, организация сбора, транспортирования, обработки, утилизации, обезвреживания, захоронения твердых коммунальных отходов в Республике Башкортостан закреплена за региональными операторами, плата за услуги по обращению с ТКО включена в разряд коммунальных. На основании вышеизложенного с 1 января следовало исключить из платы за содержание жилого помещения стоимость услуг по сбору, вывозу, утилизации (захоронению) твердых коммунальных отходов.</w:t>
      </w:r>
    </w:p>
    <w:p>
      <w:pPr>
        <w:pStyle w:val="Style19"/>
        <w:jc w:val="both"/>
        <w:rPr/>
      </w:pPr>
      <w:r>
        <w:rPr/>
        <w:t>Согласно пункту 6 статьи 24.5 КоАП РФ одним из обстоятельств, исключающих производство по делу об административном правонарушении, является истечение сроков давности привлечения к административной ответственности.</w:t>
      </w:r>
    </w:p>
    <w:p>
      <w:pPr>
        <w:pStyle w:val="Style19"/>
        <w:jc w:val="both"/>
        <w:rPr/>
      </w:pPr>
      <w:r>
        <w:rPr/>
        <w:t>Согласно п. 14 постановления Пленума Верховного Суда РФ от 24.03.2005 года № 5, срок давности привлечения к ответственности исчисляется по общим правилам исчисления сроков — со дня, следующего за днем совершения административного правонарушения (за днем обнаружения правонарушения). В случае совершения административного правонарушения, выразившегося в форме бездействия, срок привлечения к административной ответственности исчисляется со дня, следующего за последним днем периода, предоставленного для исполнения соответствующей обязанности.</w:t>
      </w:r>
    </w:p>
    <w:p>
      <w:pPr>
        <w:pStyle w:val="Style19"/>
        <w:jc w:val="both"/>
        <w:rPr/>
      </w:pPr>
      <w:r>
        <w:rPr/>
        <w:t>Согласно части 2 статьи 4.5 КоАП РФ при длящемся административном правонарушении сроки, предусмотренные частью первой этой статьи, начинают исчисляться со дня обнаружения административного правонарушения. При применении данной нормы судьям необходимо исходить из того, что длящимся является такое административное правонарушение (действие или бездействие), которое выражается в длительном непрекращающемся невыполнении или ненадлежащем выполнении предусмотренных законом обязанностей.</w:t>
      </w:r>
    </w:p>
    <w:p>
      <w:pPr>
        <w:pStyle w:val="Style19"/>
        <w:jc w:val="both"/>
        <w:rPr/>
      </w:pPr>
      <w:r>
        <w:rPr/>
        <w:t>При этом необходимо иметь в виду, что днем обнаружения длящегося административного правонарушения считается день, когда должностное лицо, уполномоченное составлять протокол об административном правонарушении, выявило факт его совершения.</w:t>
      </w:r>
    </w:p>
    <w:p>
      <w:pPr>
        <w:pStyle w:val="Style19"/>
        <w:jc w:val="both"/>
        <w:rPr/>
      </w:pPr>
      <w:r>
        <w:rPr>
          <w:rStyle w:val="Style11"/>
        </w:rPr>
        <w:t>Таким образом, по мнению суда, срок давности привлечения к административной ответственности в настоящем случае следует исчислять с 01 февраля 2019 года, поскольку сведений о том, что повышенная плата начислялась после января 2019 года материалы дела не содержат.</w:t>
      </w:r>
    </w:p>
    <w:p>
      <w:pPr>
        <w:pStyle w:val="Style19"/>
        <w:jc w:val="both"/>
        <w:rPr/>
      </w:pPr>
      <w:r>
        <w:rPr/>
        <w:t>Как следует из постановления Верховного Суда РФ от 11.11.2016 года № 58-АД16-13 срок давности привлечения к административной ответственности по ч. 2 ст. 14.1.3 КоАП РФ исчисляется по общим правилам и составляет для административного органа 2 месяца.</w:t>
      </w:r>
    </w:p>
    <w:p>
      <w:pPr>
        <w:pStyle w:val="Style19"/>
        <w:jc w:val="both"/>
        <w:rPr/>
      </w:pPr>
      <w:r>
        <w:rPr>
          <w:rStyle w:val="Style11"/>
        </w:rPr>
        <w:t>Оспоренное постановление было вынесено 10 июня 2019 года — за пределами срока давности привлечения к административной ответственности.</w:t>
      </w:r>
    </w:p>
    <w:p>
      <w:pPr>
        <w:pStyle w:val="Style19"/>
        <w:jc w:val="both"/>
        <w:rPr/>
      </w:pPr>
      <w:r>
        <w:rPr/>
        <w:t>Истечение срока давности привлечения к ответственности в силу п. 6 ч. 1 статьи 24.5 КоАП РФ является самостоятельным основанием, исключающим привлечение к административной ответственности, в связи с чем оспоренное постановление подлежит признанию незаконным и отмене.</w:t>
      </w:r>
    </w:p>
    <w:p>
      <w:pPr>
        <w:pStyle w:val="3"/>
        <w:jc w:val="both"/>
        <w:rPr/>
      </w:pPr>
      <w:r>
        <w:rPr/>
        <w:t>Решение суда</w:t>
      </w:r>
    </w:p>
    <w:p>
      <w:pPr>
        <w:pStyle w:val="Style19"/>
        <w:jc w:val="both"/>
        <w:rPr/>
      </w:pPr>
      <w:r>
        <w:rPr/>
        <w:t>Жалобу управляющей организации удовлетворить, постановление о назначении административного наказания, предусмотренного ч. 2 статьи 14.1.3 КоАП РФ, отменить.</w:t>
      </w:r>
    </w:p>
    <w:p>
      <w:pPr>
        <w:pStyle w:val="Style19"/>
        <w:spacing w:before="0" w:after="140"/>
        <w:jc w:val="both"/>
        <w:rPr>
          <w:rFonts w:ascii="Arial" w:hAnsi="Arial"/>
          <w:sz w:val="20"/>
          <w:szCs w:val="20"/>
          <w:lang w:val="ru-RU"/>
        </w:rPr>
      </w:pPr>
      <w:r>
        <w:rPr>
          <w:sz w:val="20"/>
          <w:szCs w:val="20"/>
          <w:lang w:val="ru-RU"/>
        </w:rPr>
        <w:t xml:space="preserve">Источник: </w:t>
      </w:r>
      <w:r>
        <w:rPr>
          <w:sz w:val="20"/>
          <w:szCs w:val="20"/>
          <w:lang w:val="en-US"/>
        </w:rPr>
        <w:t>solidwaste.ru</w:t>
      </w:r>
    </w:p>
    <w:sectPr>
      <w:headerReference w:type="default" r:id="rId3"/>
      <w:type w:val="nextPage"/>
      <w:pgSz w:w="11906" w:h="16838"/>
      <w:pgMar w:left="567" w:right="567" w:header="567" w:top="1126" w:footer="0" w:bottom="567" w:gutter="0"/>
      <w:pgNumType w:fmt="decimal"/>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Arial">
    <w:charset w:val="cc"/>
    <w:family w:val="swiss"/>
    <w:pitch w:val="variable"/>
  </w:font>
  <w:font w:name="OpenSymbol">
    <w:altName w:val="Arial Unicode MS"/>
    <w:charset w:val="02"/>
    <w:family w:val="auto"/>
    <w:pitch w:val="default"/>
  </w:font>
  <w:font w:name="Liberation Sans">
    <w:altName w:val="Arial"/>
    <w:charset w:val="cc"/>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8"/>
      <w:rPr/>
    </w:pPr>
    <w:r>
      <w:rPr/>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 w:val="24"/>
        <w:szCs w:val="24"/>
        <w:lang w:val="ru-RU" w:eastAsia="zh-CN" w:bidi="hi-IN"/>
      </w:rPr>
    </w:rPrDefault>
    <w:pPrDefault>
      <w:pPr/>
    </w:pPrDefault>
  </w:docDefaults>
  <w:style w:type="paragraph" w:styleId="Normal">
    <w:name w:val="Normal"/>
    <w:qFormat/>
    <w:pPr>
      <w:widowControl w:val="false"/>
      <w:kinsoku w:val="true"/>
      <w:overflowPunct w:val="true"/>
      <w:autoSpaceDE w:val="true"/>
      <w:bidi w:val="0"/>
    </w:pPr>
    <w:rPr>
      <w:rFonts w:ascii="Liberation Serif" w:hAnsi="Liberation Serif" w:eastAsia="SimSun" w:cs="Mangal"/>
      <w:color w:val="auto"/>
      <w:kern w:val="2"/>
      <w:sz w:val="24"/>
      <w:szCs w:val="24"/>
      <w:lang w:val="ru-RU" w:eastAsia="zh-CN" w:bidi="hi-IN"/>
    </w:rPr>
  </w:style>
  <w:style w:type="paragraph" w:styleId="1">
    <w:name w:val="Heading 1"/>
    <w:basedOn w:val="Style18"/>
    <w:qFormat/>
    <w:pPr/>
    <w:rPr/>
  </w:style>
  <w:style w:type="paragraph" w:styleId="2">
    <w:name w:val="Heading 2"/>
    <w:basedOn w:val="Style18"/>
    <w:qFormat/>
    <w:pPr>
      <w:jc w:val="center"/>
    </w:pPr>
    <w:rPr>
      <w:rFonts w:ascii="Arial" w:hAnsi="Arial"/>
      <w:b/>
      <w:bCs/>
      <w:sz w:val="32"/>
      <w:szCs w:val="32"/>
    </w:rPr>
  </w:style>
  <w:style w:type="paragraph" w:styleId="3">
    <w:name w:val="Heading 3"/>
    <w:basedOn w:val="Style18"/>
    <w:qFormat/>
    <w:pPr/>
    <w:rPr>
      <w:rFonts w:ascii="Arial" w:hAnsi="Arial"/>
    </w:rPr>
  </w:style>
  <w:style w:type="paragraph" w:styleId="4">
    <w:name w:val="Heading 4"/>
    <w:basedOn w:val="Style18"/>
    <w:qFormat/>
    <w:pPr/>
    <w:rPr/>
  </w:style>
  <w:style w:type="character" w:styleId="Style10">
    <w:name w:val="Интернет-ссылка"/>
    <w:rPr>
      <w:color w:val="000080"/>
      <w:u w:val="single"/>
      <w:lang w:val="zxx" w:eastAsia="zxx" w:bidi="zxx"/>
    </w:rPr>
  </w:style>
  <w:style w:type="character" w:styleId="Style11">
    <w:name w:val="Выделение жирным"/>
    <w:qFormat/>
    <w:rPr>
      <w:b/>
      <w:bCs/>
    </w:rPr>
  </w:style>
  <w:style w:type="character" w:styleId="Style12">
    <w:name w:val="Выделение"/>
    <w:qFormat/>
    <w:rPr>
      <w:i/>
      <w:iCs/>
    </w:rPr>
  </w:style>
  <w:style w:type="character" w:styleId="Style13">
    <w:name w:val="Маркеры списка"/>
    <w:qFormat/>
    <w:rPr>
      <w:rFonts w:ascii="OpenSymbol" w:hAnsi="OpenSymbol" w:eastAsia="OpenSymbol" w:cs="OpenSymbol"/>
    </w:rPr>
  </w:style>
  <w:style w:type="character" w:styleId="Style14">
    <w:name w:val="Символ сноски"/>
    <w:qFormat/>
    <w:rPr/>
  </w:style>
  <w:style w:type="character" w:styleId="Style15">
    <w:name w:val="Привязка сноски"/>
    <w:rPr>
      <w:vertAlign w:val="superscript"/>
    </w:rPr>
  </w:style>
  <w:style w:type="character" w:styleId="Style16">
    <w:name w:val="Символ концевой сноски"/>
    <w:qFormat/>
    <w:rPr/>
  </w:style>
  <w:style w:type="character" w:styleId="Style17">
    <w:name w:val="Привязка концевой сноски"/>
    <w:rPr>
      <w:vertAlign w:val="superscript"/>
    </w:rPr>
  </w:style>
  <w:style w:type="paragraph" w:styleId="Style18">
    <w:name w:val="Заголовок"/>
    <w:basedOn w:val="Normal"/>
    <w:next w:val="Style19"/>
    <w:qFormat/>
    <w:pPr>
      <w:keepNext w:val="true"/>
      <w:spacing w:before="240" w:after="120"/>
    </w:pPr>
    <w:rPr>
      <w:rFonts w:ascii="Liberation Sans" w:hAnsi="Liberation Sans" w:eastAsia="Microsoft YaHei" w:cs="Mangal"/>
      <w:sz w:val="28"/>
      <w:szCs w:val="28"/>
    </w:rPr>
  </w:style>
  <w:style w:type="paragraph" w:styleId="Style19">
    <w:name w:val="Body Text"/>
    <w:basedOn w:val="Normal"/>
    <w:pPr>
      <w:spacing w:lineRule="auto" w:line="288" w:before="0" w:after="140"/>
    </w:pPr>
    <w:rPr>
      <w:rFonts w:ascii="Arial" w:hAnsi="Arial"/>
      <w:sz w:val="20"/>
      <w:szCs w:val="20"/>
    </w:rPr>
  </w:style>
  <w:style w:type="paragraph" w:styleId="Style20">
    <w:name w:val="List"/>
    <w:basedOn w:val="Style19"/>
    <w:pPr/>
    <w:rPr>
      <w:rFonts w:cs="Mangal"/>
    </w:rPr>
  </w:style>
  <w:style w:type="paragraph" w:styleId="Style21">
    <w:name w:val="Caption"/>
    <w:basedOn w:val="Normal"/>
    <w:qFormat/>
    <w:pPr>
      <w:suppressLineNumbers/>
      <w:spacing w:before="120" w:after="120"/>
    </w:pPr>
    <w:rPr>
      <w:rFonts w:cs="Mangal"/>
      <w:i/>
      <w:iCs/>
      <w:sz w:val="24"/>
      <w:szCs w:val="24"/>
    </w:rPr>
  </w:style>
  <w:style w:type="paragraph" w:styleId="Style22">
    <w:name w:val="Указатель"/>
    <w:basedOn w:val="Normal"/>
    <w:qFormat/>
    <w:pPr>
      <w:suppressLineNumbers/>
    </w:pPr>
    <w:rPr>
      <w:rFonts w:cs="Mangal"/>
    </w:rPr>
  </w:style>
  <w:style w:type="paragraph" w:styleId="Style23">
    <w:name w:val="Блочная цитата"/>
    <w:basedOn w:val="Normal"/>
    <w:qFormat/>
    <w:pPr>
      <w:ind w:left="720" w:right="0" w:hanging="0"/>
      <w:jc w:val="both"/>
    </w:pPr>
    <w:rPr>
      <w:rFonts w:ascii="Arial" w:hAnsi="Arial"/>
      <w:i/>
      <w:iCs/>
      <w:color w:val="D2691E"/>
      <w:sz w:val="20"/>
      <w:szCs w:val="20"/>
    </w:rPr>
  </w:style>
  <w:style w:type="paragraph" w:styleId="Style24">
    <w:name w:val="Title"/>
    <w:basedOn w:val="Style18"/>
    <w:qFormat/>
    <w:pPr/>
    <w:rPr/>
  </w:style>
  <w:style w:type="paragraph" w:styleId="Style25">
    <w:name w:val="Subtitle"/>
    <w:basedOn w:val="Style18"/>
    <w:qFormat/>
    <w:pPr/>
    <w:rPr/>
  </w:style>
  <w:style w:type="paragraph" w:styleId="Style26">
    <w:name w:val="Содержимое таблицы"/>
    <w:basedOn w:val="Normal"/>
    <w:qFormat/>
    <w:pPr/>
    <w:rPr/>
  </w:style>
  <w:style w:type="paragraph" w:styleId="Style27">
    <w:name w:val="Заголовок таблицы"/>
    <w:basedOn w:val="Style26"/>
    <w:qFormat/>
    <w:pPr/>
    <w:rPr/>
  </w:style>
  <w:style w:type="paragraph" w:styleId="Style28">
    <w:name w:val="Header"/>
    <w:basedOn w:val="Normal"/>
    <w:pPr/>
    <w:rPr/>
  </w:style>
  <w:style w:type="paragraph" w:styleId="Style29">
    <w:name w:val="Горизонтальная линия"/>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news.solidwaste.ru/wp-content/uploads/2019/09/Reshenie-Arbitrazhnogo-suda-Respubliki-Bashkortostan-ot-19-sentyabrya-2019-g.-po-delu-A07-21869-2019.pdf" TargetMode="External"/><Relationship Id="rId3" Type="http://schemas.openxmlformats.org/officeDocument/2006/relationships/header" Target="head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374899</TotalTime>
  <Application>LibreOffice/6.2.4.2$Windows_X86_64 LibreOffice_project/2412653d852ce75f65fbfa83fb7e7b669a126d64</Application>
  <Pages>2</Pages>
  <Words>583</Words>
  <Characters>3955</Characters>
  <CharactersWithSpaces>4521</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2015-04-09T16:09:29Z</dcterms:created>
  <dc:creator/>
  <dc:description/>
  <dc:language>ru-RU</dc:language>
  <cp:lastModifiedBy/>
  <cp:lastPrinted>2018-10-14T18:05:08Z</cp:lastPrinted>
  <dcterms:modified xsi:type="dcterms:W3CDTF">2019-09-20T18:05:51Z</dcterms:modified>
  <cp:revision>4510</cp:revision>
  <dc:subject/>
  <dc:title/>
</cp:coreProperties>
</file>